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b/>
          <w:bCs/>
          <w:color w:val="auto"/>
          <w:sz w:val="48"/>
          <w:szCs w:val="48"/>
          <w:highlight w:val="none"/>
          <w:lang w:eastAsia="zh-CN"/>
        </w:rPr>
      </w:pPr>
      <w:r>
        <w:rPr>
          <w:rFonts w:hint="eastAsia" w:ascii="Arial" w:hAnsi="Arial"/>
          <w:b/>
          <w:bCs/>
          <w:color w:val="auto"/>
          <w:sz w:val="48"/>
          <w:szCs w:val="48"/>
          <w:highlight w:val="none"/>
          <w:lang w:eastAsia="zh-CN"/>
        </w:rPr>
      </w:r>
      <w:r/>
    </w:p>
    <w:p>
      <w:pPr>
        <w:jc w:val="center"/>
        <w:spacing w:before="120" w:after="120" w:line="360" w:lineRule="auto"/>
        <w:rPr>
          <w:rFonts w:hint="eastAsia" w:ascii="Arial" w:hAnsi="Arial"/>
          <w:b/>
          <w:bCs/>
          <w:color w:val="auto"/>
          <w:sz w:val="48"/>
          <w:szCs w:val="48"/>
          <w:highlight w:val="none"/>
          <w:lang w:eastAsia="zh-CN"/>
        </w:rPr>
      </w:pPr>
      <w:r>
        <w:rPr>
          <w:rFonts w:hint="eastAsia" w:ascii="Arial" w:hAnsi="Arial"/>
          <w:b/>
          <w:bCs/>
          <w:color w:val="auto"/>
          <w:sz w:val="48"/>
          <w:szCs w:val="48"/>
          <w:highlight w:val="none"/>
          <w:lang w:eastAsia="zh-CN"/>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b/>
          <w:bCs/>
          <w:color w:val="auto"/>
          <w:sz w:val="52"/>
          <w:szCs w:val="52"/>
          <w:highlight w:val="none"/>
          <w:lang w:eastAsia="zh-CN"/>
        </w:rPr>
        <w:t xml:space="preserve">2025年五接镇</w:t>
      </w:r>
      <w:r>
        <w:rPr>
          <w:rFonts w:hint="eastAsia" w:ascii="Arial" w:hAnsi="Arial"/>
          <w:b/>
          <w:bCs/>
          <w:color w:val="auto"/>
          <w:sz w:val="52"/>
          <w:szCs w:val="52"/>
          <w:highlight w:val="none"/>
          <w:lang w:val="en-US" w:eastAsia="zh-CN"/>
        </w:rPr>
        <w:t xml:space="preserve">2100</w:t>
      </w:r>
      <w:r>
        <w:rPr>
          <w:rFonts w:hint="eastAsia" w:ascii="Arial" w:hAnsi="Arial"/>
          <w:b/>
          <w:bCs/>
          <w:color w:val="auto"/>
          <w:sz w:val="52"/>
          <w:szCs w:val="52"/>
          <w:highlight w:val="none"/>
          <w:lang w:eastAsia="zh-CN"/>
        </w:rPr>
        <w:t xml:space="preserve">户分散农户生活污水治理工程运维项目</w:t>
      </w:r>
      <w:r/>
    </w:p>
    <w:p>
      <w:pPr>
        <w:jc w:val="center"/>
        <w:spacing w:before="120" w:after="120" w:line="360" w:lineRule="auto"/>
        <w:rPr>
          <w:rFonts w:hint="eastAsia" w:ascii="Arial" w:hAnsi="Arial" w:eastAsia="黑体"/>
          <w:b/>
          <w:bCs/>
          <w:color w:val="auto"/>
          <w:sz w:val="72"/>
          <w:szCs w:val="72"/>
          <w:highlight w:val="none"/>
        </w:rPr>
      </w:pPr>
      <w:r>
        <w:rPr>
          <w:rFonts w:hint="eastAsia" w:ascii="Arial" w:hAnsi="Arial" w:eastAsia="黑体"/>
          <w:b/>
          <w:bCs/>
          <w:color w:val="auto"/>
          <w:sz w:val="72"/>
          <w:szCs w:val="72"/>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72"/>
          <w:szCs w:val="72"/>
          <w:highlight w:val="none"/>
        </w:rPr>
        <w:t xml:space="preserve">竞争性磋商文件</w:t>
      </w:r>
      <w:r/>
    </w:p>
    <w:p>
      <w:pPr>
        <w:jc w:val="center"/>
        <w:spacing w:before="120" w:after="120" w:line="360" w:lineRule="auto"/>
        <w:rPr>
          <w:rFonts w:hint="eastAsia" w:ascii="Arial" w:hAnsi="Arial" w:eastAsia="宋体"/>
          <w:b/>
          <w:bCs/>
          <w:color w:val="auto"/>
          <w:sz w:val="36"/>
          <w:szCs w:val="36"/>
          <w:highlight w:val="none"/>
          <w:lang w:eastAsia="zh-CN"/>
        </w:rPr>
      </w:pPr>
      <w:r/>
      <w:bookmarkStart w:id="0" w:name="_Toc120614210"/>
      <w:r/>
      <w:bookmarkStart w:id="1" w:name="_Toc513029200"/>
      <w:r/>
      <w:bookmarkStart w:id="2" w:name="_Toc479757206"/>
      <w:r/>
      <w:bookmarkStart w:id="3" w:name="_Toc20823272"/>
      <w:r/>
      <w:bookmarkStart w:id="4" w:name="_Toc523127445"/>
      <w:r/>
      <w:bookmarkStart w:id="5" w:name="_Toc16938516"/>
      <w:r>
        <w:rPr>
          <w:rFonts w:hint="eastAsia" w:ascii="Arial" w:hAnsi="Arial"/>
          <w:b/>
          <w:bCs/>
          <w:color w:val="auto"/>
          <w:sz w:val="36"/>
          <w:szCs w:val="36"/>
          <w:highlight w:val="none"/>
        </w:rPr>
        <w:t xml:space="preserve">项目编号：JSZC-320612-JSZF-C2025-0014</w:t>
      </w:r>
      <w:r/>
    </w:p>
    <w:p>
      <w:pPr>
        <w:ind w:left="2100" w:hanging="2100"/>
        <w:spacing w:line="360" w:lineRule="auto"/>
        <w:rPr>
          <w:rFonts w:ascii="宋体" w:hAnsi="宋体" w:cs="宋体"/>
          <w:b/>
          <w:color w:val="auto"/>
          <w:spacing w:val="20"/>
          <w:sz w:val="44"/>
          <w:highlight w:val="none"/>
        </w:rPr>
      </w:pPr>
      <w:r>
        <w:rPr>
          <w:rFonts w:hint="eastAsia" w:ascii="Times New Roman" w:hAnsi="Times New Roman"/>
          <w:color w:val="auto"/>
          <w:szCs w:val="21"/>
          <w:highlight w:val="none"/>
        </w:rPr>
        <w:t xml:space="preserve"> </w:t>
      </w:r>
      <w:r/>
    </w:p>
    <w:p>
      <w:pPr>
        <w:spacing w:line="360" w:lineRule="auto"/>
        <w:rPr>
          <w:rFonts w:hint="eastAsia" w:ascii="宋体" w:hAnsi="宋体" w:cs="宋体"/>
          <w:b/>
          <w:color w:val="auto"/>
          <w:spacing w:val="20"/>
          <w:sz w:val="44"/>
          <w:highlight w:val="none"/>
        </w:rPr>
        <w:outlineLvl w:val="0"/>
      </w:pPr>
      <w:r>
        <w:rPr>
          <w:rFonts w:hint="eastAsia" w:ascii="宋体" w:hAnsi="宋体" w:cs="宋体"/>
          <w:b/>
          <w:color w:val="auto"/>
          <w:spacing w:val="20"/>
          <w:sz w:val="44"/>
          <w:highlight w:val="none"/>
        </w:rPr>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采购单位：南通市通州区五接镇人民政府</w:t>
      </w:r>
      <w:r/>
    </w:p>
    <w:p>
      <w:pPr>
        <w:jc w:val="center"/>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代理机构：江苏中房工程咨询有限公司</w: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日  期：202</w:t>
      </w:r>
      <w:r>
        <w:rPr>
          <w:rFonts w:hint="eastAsia" w:ascii="宋体" w:hAnsi="宋体" w:cs="宋体"/>
          <w:b/>
          <w:bCs/>
          <w:color w:val="auto"/>
          <w:sz w:val="30"/>
          <w:szCs w:val="30"/>
          <w:highlight w:val="none"/>
          <w:lang w:val="en-US" w:eastAsia="zh-CN"/>
        </w:rPr>
        <w:t xml:space="preserve">5</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12</w:t>
      </w:r>
      <w:r>
        <w:rPr>
          <w:rFonts w:hint="eastAsia" w:ascii="宋体" w:hAnsi="宋体" w:cs="宋体"/>
          <w:b/>
          <w:bCs/>
          <w:color w:val="auto"/>
          <w:sz w:val="30"/>
          <w:szCs w:val="30"/>
          <w:highlight w:val="none"/>
        </w:rPr>
        <w:t xml:space="preserve">月</w:t>
      </w:r>
      <w:r>
        <w:rPr>
          <w:rFonts w:hint="eastAsia" w:ascii="宋体" w:hAnsi="宋体"/>
          <w:b/>
          <w:color w:val="auto"/>
          <w:sz w:val="36"/>
          <w:szCs w:val="36"/>
          <w:highlight w:val="none"/>
        </w:rPr>
        <w:br w:type="page" w:clear="all"/>
      </w:r>
      <w:r/>
    </w:p>
    <w:p>
      <w:pPr>
        <w:jc w:val="center"/>
        <w:spacing w:line="360" w:lineRule="auto"/>
        <w:rPr>
          <w:rFonts w:hint="eastAsia" w:ascii="宋体" w:hAnsi="宋体"/>
          <w:b/>
          <w:color w:val="auto"/>
          <w:sz w:val="36"/>
          <w:szCs w:val="36"/>
          <w:highlight w:val="none"/>
        </w:rPr>
        <w:outlineLvl w:val="0"/>
      </w:pPr>
      <w:r>
        <w:rPr>
          <w:rFonts w:hint="eastAsia" w:ascii="宋体" w:hAnsi="宋体"/>
          <w:b/>
          <w:color w:val="auto"/>
          <w:sz w:val="36"/>
          <w:szCs w:val="36"/>
          <w:highlight w:val="none"/>
        </w:rPr>
        <w:t xml:space="preserve">总  目  录</w:t>
      </w:r>
      <w:r/>
    </w:p>
    <w:p>
      <w:pP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numPr>
          <w:ilvl w:val="0"/>
          <w:numId w:val="4"/>
        </w:numPr>
        <w:spacing w:line="480" w:lineRule="auto"/>
        <w:rPr>
          <w:rFonts w:hint="eastAsia" w:ascii="宋体" w:hAnsi="宋体" w:cs="宋体"/>
          <w:color w:val="auto"/>
          <w:sz w:val="32"/>
          <w:szCs w:val="21"/>
          <w:highlight w:val="none"/>
        </w:rPr>
        <w:outlineLvl w:val="0"/>
      </w:pPr>
      <w:r>
        <w:rPr>
          <w:rFonts w:hint="eastAsia" w:ascii="宋体" w:hAnsi="宋体" w:cs="宋体"/>
          <w:color w:val="auto"/>
          <w:sz w:val="36"/>
          <w:szCs w:val="21"/>
          <w:highlight w:val="none"/>
          <w:lang w:eastAsia="zh-CN"/>
        </w:rPr>
        <w:t xml:space="preserve">竞争性磋商公告</w:t>
      </w:r>
      <w:r>
        <w:rPr>
          <w:rFonts w:hint="eastAsia" w:ascii="宋体" w:hAnsi="宋体" w:cs="宋体"/>
          <w:color w:val="auto"/>
          <w:sz w:val="36"/>
          <w:szCs w:val="21"/>
          <w:highlight w:val="none"/>
        </w:rPr>
        <w:t xml:space="preserve"> </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供应商须知</w:t>
      </w:r>
      <w:r>
        <w:rPr>
          <w:rFonts w:hint="eastAsia" w:ascii="宋体" w:hAnsi="宋体" w:cs="宋体"/>
          <w:color w:val="auto"/>
          <w:sz w:val="36"/>
          <w:szCs w:val="21"/>
          <w:highlight w:val="none"/>
        </w:rPr>
        <w:t xml:space="preserve">  </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合同文本</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采购需求</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评审方法与评审标准</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响应文件格式</w:t>
      </w:r>
      <w:r/>
    </w:p>
    <w:p>
      <w:pPr>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highlight w:val="none"/>
        </w:rPr>
      </w:pPr>
      <w:r>
        <w:rPr>
          <w:rFonts w:ascii="Times New Roman" w:hAnsi="Times New Roman"/>
          <w:color w:val="auto"/>
          <w:highlight w:val="none"/>
        </w:rPr>
      </w:r>
      <w:r/>
    </w:p>
    <w:p>
      <w:pPr>
        <w:spacing w:line="360" w:lineRule="auto"/>
        <w:rPr>
          <w:rFonts w:ascii="Times New Roman" w:hAnsi="Times New Roman"/>
          <w:color w:val="auto"/>
          <w:highlight w:val="none"/>
        </w:rPr>
      </w:pPr>
      <w:r>
        <w:rPr>
          <w:rFonts w:ascii="Times New Roman" w:hAnsi="Times New Roman"/>
          <w:color w:val="auto"/>
          <w:highlight w:val="none"/>
        </w:rPr>
      </w:r>
      <w:r/>
    </w:p>
    <w:p>
      <w:pPr>
        <w:spacing w:line="360" w:lineRule="auto"/>
        <w:rPr>
          <w:rFonts w:ascii="Times New Roman" w:hAnsi="Times New Roman"/>
          <w:color w:val="auto"/>
          <w:highlight w:val="none"/>
        </w:rPr>
      </w:pPr>
      <w:r>
        <w:rPr>
          <w:rFonts w:ascii="Times New Roman" w:hAnsi="Times New Roman"/>
          <w:color w:val="auto"/>
          <w:highlight w:val="none"/>
        </w:rPr>
      </w:r>
      <w:r/>
    </w:p>
    <w:p>
      <w:pPr>
        <w:spacing w:line="360" w:lineRule="auto"/>
        <w:rPr>
          <w:rFonts w:ascii="Times New Roman" w:hAnsi="Times New Roman"/>
          <w:color w:val="auto"/>
          <w:highlight w:val="none"/>
        </w:rPr>
      </w:pPr>
      <w:r>
        <w:rPr>
          <w:rFonts w:ascii="Times New Roman" w:hAnsi="Times New Roman"/>
          <w:color w:val="auto"/>
          <w:highlight w:val="none"/>
        </w:rPr>
      </w:r>
      <w:r/>
    </w:p>
    <w:p>
      <w:pPr>
        <w:spacing w:line="360" w:lineRule="auto"/>
        <w:rPr>
          <w:rFonts w:ascii="Times New Roman" w:hAnsi="Times New Roman"/>
          <w:color w:val="auto"/>
          <w:highlight w:val="none"/>
        </w:rPr>
      </w:pPr>
      <w:r>
        <w:rPr>
          <w:rFonts w:ascii="Times New Roman" w:hAnsi="Times New Roman"/>
          <w:color w:val="auto"/>
          <w:highlight w:val="none"/>
        </w:rPr>
      </w:r>
      <w:r/>
    </w:p>
    <w:p>
      <w:pPr>
        <w:spacing w:line="360" w:lineRule="auto"/>
        <w:rPr>
          <w:rFonts w:ascii="Times New Roman" w:hAnsi="Times New Roman"/>
          <w:color w:val="auto"/>
          <w:highlight w:val="none"/>
        </w:rPr>
      </w:pPr>
      <w:r>
        <w:rPr>
          <w:rFonts w:ascii="Times New Roman" w:hAnsi="Times New Roman"/>
          <w:color w:val="auto"/>
          <w:highlight w:val="none"/>
        </w:rPr>
      </w:r>
      <w:r/>
    </w:p>
    <w:p>
      <w:pPr>
        <w:spacing w:line="360" w:lineRule="auto"/>
        <w:rPr>
          <w:rFonts w:ascii="Times New Roman" w:hAnsi="Times New Roman"/>
          <w:color w:val="auto"/>
          <w:highlight w:val="none"/>
        </w:rPr>
      </w:pPr>
      <w:r>
        <w:rPr>
          <w:rFonts w:ascii="Times New Roman" w:hAnsi="Times New Roman"/>
          <w:color w:val="auto"/>
          <w:highlight w:val="none"/>
        </w:rPr>
      </w:r>
      <w:r/>
    </w:p>
    <w:p>
      <w:pPr>
        <w:spacing w:line="360" w:lineRule="auto"/>
        <w:rPr>
          <w:rFonts w:ascii="Times New Roman" w:hAnsi="Times New Roman"/>
          <w:color w:val="auto"/>
          <w:highlight w:val="none"/>
        </w:rPr>
      </w:pPr>
      <w:r>
        <w:rPr>
          <w:rFonts w:ascii="Times New Roman" w:hAnsi="Times New Roman"/>
          <w:color w:val="auto"/>
          <w:highlight w:val="none"/>
        </w:rPr>
      </w:r>
      <w:r/>
    </w:p>
    <w:p>
      <w:pPr>
        <w:spacing w:line="360" w:lineRule="auto"/>
        <w:rPr>
          <w:rFonts w:ascii="Times New Roman" w:hAnsi="Times New Roman"/>
          <w:color w:val="auto"/>
          <w:highlight w:val="none"/>
        </w:rPr>
      </w:pPr>
      <w:r>
        <w:rPr>
          <w:rFonts w:ascii="Times New Roman" w:hAnsi="Times New Roman"/>
          <w:color w:val="auto"/>
          <w:highlight w:val="none"/>
        </w:rPr>
      </w:r>
      <w:r/>
    </w:p>
    <w:p>
      <w:pPr>
        <w:jc w:val="center"/>
        <w:keepNext/>
        <w:spacing w:line="360" w:lineRule="auto"/>
        <w:rPr>
          <w:rFonts w:hint="eastAsia" w:ascii="黑体" w:hAnsi="Times New Roman" w:eastAsia="黑体"/>
          <w:bCs/>
          <w:color w:val="auto"/>
          <w:sz w:val="44"/>
          <w:szCs w:val="44"/>
          <w:highlight w:val="none"/>
          <w:lang w:eastAsia="zh-CN"/>
        </w:rPr>
        <w:outlineLvl w:val="0"/>
      </w:pPr>
      <w:r>
        <w:rPr>
          <w:rFonts w:hint="eastAsia" w:ascii="黑体" w:hAnsi="Times New Roman" w:eastAsia="黑体"/>
          <w:color w:val="auto"/>
          <w:sz w:val="44"/>
          <w:szCs w:val="44"/>
          <w:highlight w:val="none"/>
        </w:rPr>
        <w:t xml:space="preserve">第一章  </w:t>
      </w:r>
      <w:bookmarkEnd w:id="0"/>
      <w:r>
        <w:rPr>
          <w:rFonts w:hint="eastAsia" w:ascii="黑体" w:hAnsi="Times New Roman" w:eastAsia="黑体"/>
          <w:color w:val="auto"/>
          <w:sz w:val="44"/>
          <w:szCs w:val="44"/>
          <w:highlight w:val="none"/>
          <w:lang w:eastAsia="zh-CN"/>
        </w:rPr>
        <w:t xml:space="preserve">竞争性磋商公告</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受[南通市通州区五接镇人民政府]的委托，江苏中房工程咨询有限公司就[2025</w:t>
      </w:r>
      <w:r>
        <w:rPr>
          <w:rFonts w:hint="eastAsia" w:ascii="宋体" w:hAnsi="宋体" w:cs="宋体"/>
          <w:color w:val="auto"/>
          <w:sz w:val="24"/>
          <w:highlight w:val="none"/>
          <w:lang w:eastAsia="zh-CN"/>
        </w:rPr>
        <w:t xml:space="preserve">年五接镇</w:t>
      </w:r>
      <w:r>
        <w:rPr>
          <w:rFonts w:hint="eastAsia" w:ascii="宋体" w:hAnsi="宋体" w:cs="宋体"/>
          <w:color w:val="auto"/>
          <w:sz w:val="24"/>
          <w:highlight w:val="none"/>
          <w:lang w:val="en-US" w:eastAsia="zh-CN"/>
        </w:rPr>
        <w:t xml:space="preserve">2100</w:t>
      </w:r>
      <w:r>
        <w:rPr>
          <w:rFonts w:hint="eastAsia" w:ascii="宋体" w:hAnsi="宋体" w:cs="宋体"/>
          <w:color w:val="auto"/>
          <w:sz w:val="24"/>
          <w:highlight w:val="none"/>
          <w:lang w:eastAsia="zh-CN"/>
        </w:rPr>
        <w:t xml:space="preserve">户分散农户生活污水治理工程运维项目</w:t>
      </w:r>
      <w:r>
        <w:rPr>
          <w:rFonts w:hint="eastAsia" w:ascii="宋体" w:hAnsi="宋体"/>
          <w:color w:val="auto"/>
          <w:sz w:val="24"/>
          <w:szCs w:val="24"/>
          <w:highlight w:val="none"/>
        </w:rPr>
        <w:t xml:space="preserve">]([项目编号：JSZC-320612-JSZF-C2025-0014])项目进行竞争性磋商采购，欢迎符合条件的供应商参加磋商。</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 2025年</w:t>
      </w:r>
      <w:r>
        <w:rPr>
          <w:rFonts w:hint="eastAsia" w:ascii="宋体" w:hAnsi="宋体"/>
          <w:color w:val="auto"/>
          <w:sz w:val="24"/>
          <w:szCs w:val="24"/>
          <w:highlight w:val="none"/>
          <w:u w:val="single"/>
          <w:lang w:eastAsia="zh-CN"/>
        </w:rPr>
        <w:t xml:space="preserve">五接镇</w:t>
      </w:r>
      <w:r>
        <w:rPr>
          <w:rFonts w:hint="eastAsia" w:ascii="宋体" w:hAnsi="宋体"/>
          <w:color w:val="auto"/>
          <w:sz w:val="24"/>
          <w:szCs w:val="24"/>
          <w:highlight w:val="none"/>
          <w:u w:val="single"/>
          <w:lang w:val="en-US" w:eastAsia="zh-CN"/>
        </w:rPr>
        <w:t xml:space="preserve">2100</w:t>
      </w:r>
      <w:r>
        <w:rPr>
          <w:rFonts w:hint="eastAsia" w:ascii="宋体" w:hAnsi="宋体"/>
          <w:color w:val="auto"/>
          <w:sz w:val="24"/>
          <w:szCs w:val="24"/>
          <w:highlight w:val="none"/>
          <w:u w:val="single"/>
          <w:lang w:eastAsia="zh-CN"/>
        </w:rPr>
        <w:t xml:space="preserve">户分散农户生活污水治理工程运维项目</w:t>
      </w:r>
      <w:r>
        <w:rPr>
          <w:rFonts w:hint="eastAsia" w:ascii="宋体" w:hAnsi="宋体"/>
          <w:color w:val="auto"/>
          <w:sz w:val="24"/>
          <w:szCs w:val="24"/>
          <w:highlight w:val="none"/>
        </w:rPr>
        <w:t xml:space="preserve">竞争性磋商项目的潜在供应商可在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磋商文件，并于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1</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5</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9时0</w:t>
      </w:r>
      <w:r>
        <w:rPr>
          <w:rFonts w:hint="eastAsia" w:ascii="宋体" w:hAnsi="宋体"/>
          <w:bCs/>
          <w:color w:val="auto"/>
          <w:sz w:val="24"/>
          <w:szCs w:val="24"/>
          <w:highlight w:val="none"/>
          <w:u w:val="single"/>
        </w:rPr>
        <w:t xml:space="preserve">0分（</w:t>
      </w:r>
      <w:r>
        <w:rPr>
          <w:rFonts w:hint="eastAsia" w:ascii="宋体" w:hAnsi="宋体"/>
          <w:bCs/>
          <w:color w:val="auto"/>
          <w:sz w:val="24"/>
          <w:szCs w:val="24"/>
          <w:highlight w:val="none"/>
        </w:rPr>
        <w:t xml:space="preserve">北京时间）前递交响应文件</w:t>
      </w:r>
      <w:r>
        <w:rPr>
          <w:rFonts w:hint="eastAsia" w:ascii="宋体" w:hAnsi="宋体"/>
          <w:color w:val="auto"/>
          <w:sz w:val="24"/>
          <w:szCs w:val="24"/>
          <w:highlight w:val="none"/>
        </w:rPr>
        <w:t xml:space="preserve">。</w:t>
      </w:r>
      <w:r/>
    </w:p>
    <w:p>
      <w:pPr>
        <w:ind w:firstLine="498"/>
        <w:keepLines/>
        <w:keepNext/>
        <w:spacing w:before="143" w:after="143" w:line="360" w:lineRule="auto"/>
        <w:rPr>
          <w:rFonts w:ascii="Times New Roman" w:hAnsi="Times New Roman"/>
          <w:b/>
          <w:bCs/>
          <w:color w:val="auto"/>
          <w:sz w:val="32"/>
          <w:szCs w:val="32"/>
          <w:highlight w:val="none"/>
        </w:rPr>
        <w:outlineLvl w:val="2"/>
      </w:pPr>
      <w:r/>
      <w:bookmarkStart w:id="6" w:name="_Toc35393790"/>
      <w:r/>
      <w:bookmarkStart w:id="7" w:name="_Hlk24379207"/>
      <w:r/>
      <w:bookmarkStart w:id="8" w:name="_Toc28359079"/>
      <w:r/>
      <w:bookmarkStart w:id="9" w:name="_Toc38985263"/>
      <w:r/>
      <w:bookmarkStart w:id="10" w:name="_Toc28359002"/>
      <w:r/>
      <w:bookmarkStart w:id="11" w:name="_Toc35393621"/>
      <w:r>
        <w:rPr>
          <w:rFonts w:hint="eastAsia" w:ascii="Times New Roman" w:hAnsi="Times New Roman"/>
          <w:b/>
          <w:bCs/>
          <w:color w:val="auto"/>
          <w:sz w:val="32"/>
          <w:szCs w:val="32"/>
          <w:highlight w:val="none"/>
        </w:rPr>
        <w:t xml:space="preserve">一、项目基本情况</w:t>
      </w:r>
      <w:bookmarkEnd w:id="6"/>
      <w:r/>
      <w:bookmarkEnd w:id="7"/>
      <w:r/>
      <w:bookmarkEnd w:id="8"/>
      <w:r/>
      <w:bookmarkEnd w:id="9"/>
      <w:r/>
      <w:bookmarkEnd w:id="10"/>
      <w:r/>
      <w:bookmarkEnd w:id="11"/>
      <w:r/>
      <w:r/>
    </w:p>
    <w:p>
      <w:pPr>
        <w:ind w:firstLine="480"/>
        <w:spacing w:line="360" w:lineRule="auto"/>
        <w:rPr>
          <w:rFonts w:hint="eastAsia" w:ascii="宋体" w:hAnsi="宋体"/>
          <w:color w:val="auto"/>
          <w:sz w:val="24"/>
          <w:szCs w:val="24"/>
          <w:highlight w:val="none"/>
        </w:rPr>
      </w:pPr>
      <w:r/>
      <w:bookmarkStart w:id="12" w:name="_Hlk182338802"/>
      <w:r/>
      <w:bookmarkStart w:id="13" w:name="_Hlk159079805"/>
      <w:r/>
      <w:bookmarkStart w:id="14" w:name="_Toc35393791"/>
      <w:r/>
      <w:bookmarkStart w:id="15" w:name="_Toc28359080"/>
      <w:r/>
      <w:bookmarkStart w:id="16" w:name="_Toc28359003"/>
      <w:r/>
      <w:bookmarkStart w:id="17" w:name="_Toc38985264"/>
      <w:r/>
      <w:bookmarkStart w:id="18" w:name="_Toc35393622"/>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JSZC-320612-JSZF-C2025-0014   </w:t>
      </w:r>
      <w:r>
        <w:rPr>
          <w:rFonts w:hint="eastAsia" w:ascii="宋体" w:hAnsi="宋体"/>
          <w:color w:val="auto"/>
          <w:sz w:val="24"/>
          <w:szCs w:val="24"/>
          <w:highlight w:val="none"/>
        </w:rPr>
        <w:t xml:space="preserve"> </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2.项目名称：2025年</w:t>
      </w:r>
      <w:r>
        <w:rPr>
          <w:rFonts w:hint="eastAsia" w:ascii="宋体" w:hAnsi="宋体"/>
          <w:color w:val="auto"/>
          <w:sz w:val="24"/>
          <w:szCs w:val="24"/>
          <w:highlight w:val="none"/>
          <w:lang w:eastAsia="zh-CN"/>
        </w:rPr>
        <w:t xml:space="preserve">五接镇</w:t>
      </w:r>
      <w:r>
        <w:rPr>
          <w:rFonts w:hint="eastAsia" w:ascii="宋体" w:hAnsi="宋体"/>
          <w:color w:val="auto"/>
          <w:sz w:val="24"/>
          <w:szCs w:val="24"/>
          <w:highlight w:val="none"/>
          <w:lang w:val="en-US" w:eastAsia="zh-CN"/>
        </w:rPr>
        <w:t xml:space="preserve">2100</w:t>
      </w:r>
      <w:r>
        <w:rPr>
          <w:rFonts w:hint="eastAsia" w:ascii="宋体" w:hAnsi="宋体"/>
          <w:color w:val="auto"/>
          <w:sz w:val="24"/>
          <w:szCs w:val="24"/>
          <w:highlight w:val="none"/>
          <w:lang w:eastAsia="zh-CN"/>
        </w:rPr>
        <w:t xml:space="preserve">户分散农户生活污水治理工程运维项目</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3.采购方式：竞争性磋商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4.预算金额：本项目采购预算价</w:t>
      </w:r>
      <w:bookmarkStart w:id="19" w:name="_Hlk171534911"/>
      <w:r>
        <w:rPr>
          <w:rFonts w:hint="eastAsia" w:ascii="宋体" w:hAnsi="宋体"/>
          <w:color w:val="auto"/>
          <w:sz w:val="24"/>
          <w:szCs w:val="24"/>
          <w:highlight w:val="none"/>
          <w:lang w:val="en-US" w:eastAsia="zh-CN"/>
        </w:rPr>
        <w:t xml:space="preserve">205</w:t>
      </w:r>
      <w:r>
        <w:rPr>
          <w:rFonts w:hint="eastAsia" w:ascii="宋体" w:hAnsi="宋体"/>
          <w:color w:val="auto"/>
          <w:sz w:val="24"/>
          <w:szCs w:val="24"/>
          <w:highlight w:val="none"/>
          <w:lang w:eastAsia="zh-CN"/>
        </w:rPr>
        <w:t xml:space="preserve">万</w:t>
      </w:r>
      <w:r>
        <w:rPr>
          <w:rFonts w:hint="eastAsia" w:ascii="宋体" w:hAnsi="宋体"/>
          <w:color w:val="auto"/>
          <w:sz w:val="24"/>
          <w:szCs w:val="24"/>
          <w:highlight w:val="none"/>
        </w:rPr>
        <w:t xml:space="preserve">元</w:t>
      </w:r>
      <w:bookmarkEnd w:id="19"/>
      <w:r>
        <w:rPr>
          <w:rFonts w:hint="eastAsia" w:ascii="宋体" w:hAnsi="宋体"/>
          <w:color w:val="auto"/>
          <w:sz w:val="24"/>
          <w:szCs w:val="24"/>
          <w:highlight w:val="none"/>
        </w:rPr>
        <w:t xml:space="preserve">，资金来源</w:t>
      </w:r>
      <w:bookmarkStart w:id="20" w:name="_Hlk171534920"/>
      <w:r/>
      <w:bookmarkStart w:id="21" w:name="_Hlk171534749"/>
      <w:r>
        <w:rPr>
          <w:rFonts w:hint="eastAsia" w:ascii="宋体" w:hAnsi="宋体"/>
          <w:color w:val="auto"/>
          <w:sz w:val="24"/>
          <w:szCs w:val="24"/>
          <w:highlight w:val="none"/>
        </w:rPr>
        <w:t xml:space="preserve">镇级财政资金</w:t>
      </w:r>
      <w:bookmarkEnd w:id="20"/>
      <w:r>
        <w:rPr>
          <w:rFonts w:hint="eastAsia" w:ascii="宋体" w:hAnsi="宋体"/>
          <w:color w:val="auto"/>
          <w:sz w:val="24"/>
          <w:szCs w:val="24"/>
          <w:highlight w:val="none"/>
        </w:rPr>
        <w:t xml:space="preserve">。</w:t>
      </w:r>
      <w:bookmarkEnd w:id="21"/>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5.最高限价：</w:t>
      </w:r>
      <w:bookmarkStart w:id="22" w:name="_Hlk171534768"/>
      <w:r>
        <w:rPr>
          <w:rFonts w:hint="eastAsia" w:ascii="宋体" w:hAnsi="宋体"/>
          <w:color w:val="auto"/>
          <w:sz w:val="24"/>
          <w:szCs w:val="24"/>
          <w:highlight w:val="none"/>
          <w:lang w:val="en-US" w:eastAsia="zh-CN"/>
        </w:rPr>
        <w:t xml:space="preserve">205</w:t>
      </w:r>
      <w:r>
        <w:rPr>
          <w:rFonts w:hint="eastAsia" w:ascii="宋体" w:hAnsi="宋体"/>
          <w:color w:val="auto"/>
          <w:sz w:val="24"/>
          <w:szCs w:val="24"/>
          <w:highlight w:val="none"/>
          <w:lang w:eastAsia="zh-CN"/>
        </w:rPr>
        <w:t xml:space="preserve">万</w:t>
      </w:r>
      <w:r>
        <w:rPr>
          <w:rFonts w:hint="eastAsia" w:ascii="宋体" w:hAnsi="宋体"/>
          <w:color w:val="auto"/>
          <w:sz w:val="24"/>
          <w:szCs w:val="24"/>
          <w:highlight w:val="none"/>
        </w:rPr>
        <w:t xml:space="preserve">元</w:t>
      </w:r>
      <w:bookmarkEnd w:id="22"/>
      <w:r>
        <w:rPr>
          <w:rFonts w:hint="eastAsia" w:ascii="宋体" w:hAnsi="宋体"/>
          <w:color w:val="auto"/>
          <w:sz w:val="24"/>
          <w:szCs w:val="24"/>
          <w:highlight w:val="none"/>
        </w:rPr>
        <w:t xml:space="preserve">，最终报价超过采购最高限价的为无效响应文件。</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项目类型：</w:t>
      </w:r>
      <w:r>
        <w:rPr>
          <w:rFonts w:hint="eastAsia" w:ascii="宋体" w:hAnsi="宋体"/>
          <w:color w:val="auto"/>
          <w:sz w:val="24"/>
          <w:szCs w:val="24"/>
          <w:highlight w:val="none"/>
          <w:lang w:val="en-US" w:eastAsia="zh-CN"/>
        </w:rPr>
        <w:t xml:space="preserve">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所属行业：</w:t>
      </w:r>
      <w:r>
        <w:rPr>
          <w:rFonts w:hint="eastAsia" w:ascii="宋体" w:hAnsi="宋体"/>
          <w:color w:val="auto"/>
          <w:sz w:val="24"/>
          <w:szCs w:val="24"/>
          <w:highlight w:val="none"/>
        </w:rPr>
        <w:t xml:space="preserve">其他未列明行业</w:t>
      </w:r>
      <w:r>
        <w:rPr>
          <w:rFonts w:ascii="宋体" w:hAnsi="宋体"/>
          <w:color w:val="auto"/>
          <w:sz w:val="24"/>
          <w:szCs w:val="24"/>
          <w:highlight w:val="non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8.采购需求：</w:t>
      </w:r>
      <w:bookmarkStart w:id="23" w:name="_Hlk171534758"/>
      <w:r>
        <w:rPr>
          <w:rFonts w:hint="eastAsia" w:ascii="宋体" w:hAnsi="宋体"/>
          <w:color w:val="auto"/>
          <w:sz w:val="24"/>
          <w:szCs w:val="24"/>
          <w:highlight w:val="none"/>
          <w:lang w:eastAsia="zh-CN"/>
        </w:rPr>
        <w:t xml:space="preserve">五接镇</w:t>
      </w:r>
      <w:r>
        <w:rPr>
          <w:rFonts w:hint="eastAsia" w:ascii="宋体" w:hAnsi="宋体"/>
          <w:color w:val="auto"/>
          <w:sz w:val="24"/>
          <w:szCs w:val="24"/>
          <w:highlight w:val="none"/>
          <w:lang w:val="en-US" w:eastAsia="zh-CN"/>
        </w:rPr>
        <w:t xml:space="preserve">2100</w:t>
      </w:r>
      <w:r>
        <w:rPr>
          <w:rFonts w:hint="eastAsia" w:ascii="宋体" w:hAnsi="宋体"/>
          <w:color w:val="auto"/>
          <w:sz w:val="24"/>
          <w:szCs w:val="24"/>
          <w:highlight w:val="none"/>
          <w:lang w:eastAsia="zh-CN"/>
        </w:rPr>
        <w:t xml:space="preserve">户分散农户生活污水治理工程运维</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，具体详见</w:t>
      </w:r>
      <w:r>
        <w:rPr>
          <w:rFonts w:hint="eastAsia" w:ascii="宋体" w:hAnsi="宋体"/>
          <w:color w:val="auto"/>
          <w:sz w:val="24"/>
          <w:szCs w:val="24"/>
          <w:highlight w:val="none"/>
          <w:lang w:val="en-US" w:eastAsia="zh-CN"/>
        </w:rPr>
        <w:t xml:space="preserve">磋商文件第四章</w:t>
      </w:r>
      <w:r>
        <w:rPr>
          <w:rFonts w:hint="eastAsia" w:ascii="宋体" w:hAnsi="宋体"/>
          <w:color w:val="auto"/>
          <w:sz w:val="24"/>
          <w:szCs w:val="24"/>
          <w:highlight w:val="none"/>
        </w:rPr>
        <w:t xml:space="preserve">。</w:t>
      </w:r>
      <w:bookmarkEnd w:id="23"/>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9.合同履行期限：</w:t>
      </w:r>
      <w:r>
        <w:rPr>
          <w:rFonts w:hint="eastAsia" w:ascii="宋体" w:hAnsi="宋体" w:cs="宋体"/>
          <w:color w:val="auto"/>
          <w:sz w:val="24"/>
          <w:szCs w:val="24"/>
          <w:highlight w:val="none"/>
          <w:lang w:eastAsia="zh-CN"/>
        </w:rPr>
        <w:t xml:space="preserve">2026年1月7日至2027年3月23日（</w:t>
      </w:r>
      <w:r>
        <w:rPr>
          <w:rFonts w:hint="eastAsia" w:ascii="宋体" w:hAnsi="宋体" w:cs="宋体"/>
          <w:color w:val="auto"/>
          <w:sz w:val="24"/>
          <w:szCs w:val="24"/>
          <w:highlight w:val="none"/>
          <w:lang w:val="en-US" w:eastAsia="zh-CN"/>
        </w:rPr>
        <w:t xml:space="preserve">约14.6个月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w:t>
      </w:r>
      <w:bookmarkEnd w:id="12"/>
      <w:r>
        <w:rPr>
          <w:rFonts w:hint="eastAsia" w:ascii="宋体" w:hAnsi="宋体"/>
          <w:color w:val="auto"/>
          <w:sz w:val="24"/>
          <w:szCs w:val="24"/>
          <w:highlight w:val="none"/>
        </w:rPr>
        <w:t xml:space="preserve">本项目不接受</w:t>
      </w:r>
      <w:r>
        <w:rPr>
          <w:rFonts w:hint="eastAsia" w:ascii="宋体" w:hAnsi="宋体"/>
          <w:color w:val="auto"/>
          <w:sz w:val="24"/>
          <w:szCs w:val="24"/>
          <w:highlight w:val="none"/>
          <w:lang w:val="en-US" w:eastAsia="zh-CN"/>
        </w:rPr>
        <w:t xml:space="preserve">联合体</w:t>
      </w:r>
      <w:r>
        <w:rPr>
          <w:rFonts w:hint="eastAsia" w:ascii="宋体" w:hAnsi="宋体"/>
          <w:color w:val="auto"/>
          <w:sz w:val="24"/>
          <w:szCs w:val="24"/>
          <w:highlight w:val="none"/>
        </w:rPr>
        <w:t xml:space="preserve">。</w:t>
      </w:r>
      <w:bookmarkEnd w:id="13"/>
      <w:r/>
      <w:r/>
    </w:p>
    <w:p>
      <w:pPr>
        <w:ind w:firstLine="498"/>
        <w:keepLines/>
        <w:keepNext/>
        <w:spacing w:before="143" w:after="143" w:line="360" w:lineRule="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二、申请人的资格要求：</w:t>
      </w:r>
      <w:bookmarkEnd w:id="14"/>
      <w:r/>
      <w:bookmarkEnd w:id="15"/>
      <w:r/>
      <w:bookmarkEnd w:id="16"/>
      <w:r/>
      <w:bookmarkEnd w:id="17"/>
      <w:r/>
      <w:bookmarkEnd w:id="18"/>
      <w:r/>
      <w:r/>
    </w:p>
    <w:p>
      <w:pPr>
        <w:ind w:firstLine="480"/>
        <w:spacing w:line="360" w:lineRule="auto"/>
        <w:rPr>
          <w:rFonts w:ascii="宋体" w:hAnsi="宋体"/>
          <w:color w:val="auto"/>
          <w:sz w:val="24"/>
          <w:szCs w:val="24"/>
          <w:highlight w:val="none"/>
        </w:rPr>
      </w:pPr>
      <w:r/>
      <w:bookmarkStart w:id="24" w:name="_Toc35393792"/>
      <w:r/>
      <w:bookmarkStart w:id="25" w:name="_Toc28359004"/>
      <w:r/>
      <w:bookmarkStart w:id="26" w:name="_Toc28359081"/>
      <w:r/>
      <w:bookmarkStart w:id="27" w:name="_Toc38985265"/>
      <w:r/>
      <w:bookmarkStart w:id="28" w:name="_Toc35393623"/>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ascii="华文新魏" w:hAnsi="宋体" w:eastAsia="华文新魏"/>
          <w:color w:val="auto"/>
          <w:sz w:val="36"/>
          <w:szCs w:val="36"/>
          <w:highlight w:val="none"/>
        </w:rPr>
      </w:pPr>
      <w:r>
        <w:rPr>
          <w:rFonts w:hint="eastAsia" w:ascii="宋体" w:hAnsi="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3.落实政府采购政策需满足的资格要求：</w:t>
      </w:r>
      <w:r>
        <w:rPr>
          <w:rFonts w:hint="eastAsia" w:ascii="宋体" w:hAnsi="宋体"/>
          <w:b/>
          <w:color w:val="auto"/>
          <w:sz w:val="24"/>
          <w:szCs w:val="24"/>
          <w:highlight w:val="none"/>
        </w:rPr>
        <w:t xml:space="preserve">本项目专门面向中小企业采购</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（1）按照财政部、工业和信息化部关于印发《政府采购促进中小企业发展管理办法》的通知（财库〔2020〕46号）的规定，落实促进中小企业发展政策。</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（2）按照《财政部、司法部关于政府采购支持监狱企业发展有关问题的通知》（财库〔2014〕68号）的规定，落实支持监狱企业发展政策。</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（3）按照《三部门联合发布关于促进残疾人就业政府采购政策的通知》（财库〔2017〕141号）的规定，落实支持残疾人福利性单位发展政策。</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4.本项目不接受分包。</w:t>
      </w:r>
      <w:r/>
    </w:p>
    <w:p>
      <w:pPr>
        <w:ind w:firstLine="480"/>
        <w:spacing w:line="360" w:lineRule="auto"/>
        <w:rPr>
          <w:rFonts w:ascii="宋体" w:hAnsi="宋体"/>
          <w:color w:val="auto"/>
          <w:sz w:val="24"/>
          <w:szCs w:val="24"/>
          <w:highlight w:val="none"/>
        </w:rPr>
      </w:pPr>
      <w:r/>
      <w:bookmarkStart w:id="29" w:name="_Hlk182341156"/>
      <w:r>
        <w:rPr>
          <w:rFonts w:hint="eastAsia" w:ascii="宋体" w:hAnsi="宋体"/>
          <w:color w:val="auto"/>
          <w:sz w:val="24"/>
          <w:szCs w:val="24"/>
          <w:highlight w:val="none"/>
        </w:rPr>
        <w:t xml:space="preserve">（二）本项目的特定资格要求</w:t>
      </w:r>
      <w:r/>
    </w:p>
    <w:p>
      <w:pPr>
        <w:contextualSpacing/>
        <w:ind w:firstLine="480"/>
        <w:spacing w:line="360" w:lineRule="auto"/>
        <w:rPr>
          <w:rFonts w:ascii="宋体" w:hAnsi="宋体" w:cs="宋体"/>
          <w:color w:val="auto"/>
          <w:sz w:val="24"/>
          <w:szCs w:val="24"/>
          <w:highlight w:val="none"/>
        </w:rPr>
      </w:pPr>
      <w:r/>
      <w:bookmarkStart w:id="30" w:name="_Hlk181823161"/>
      <w:r>
        <w:rPr>
          <w:rFonts w:hint="eastAsia" w:ascii="宋体" w:hAnsi="宋体" w:cs="宋体"/>
          <w:color w:val="auto"/>
          <w:sz w:val="24"/>
          <w:szCs w:val="24"/>
          <w:highlight w:val="none"/>
        </w:rPr>
        <w:t xml:space="preserve">（1）供应商具备</w:t>
      </w:r>
      <w:r>
        <w:rPr>
          <w:rFonts w:hint="eastAsia" w:ascii="宋体" w:hAnsi="宋体"/>
          <w:b/>
          <w:bCs/>
          <w:color w:val="auto"/>
          <w:sz w:val="24"/>
          <w:highlight w:val="none"/>
          <w:u w:val="single"/>
          <w:lang w:val="en-US" w:eastAsia="zh-CN"/>
        </w:rPr>
        <w:t xml:space="preserve">环保工程专业承包二级及以上资质</w:t>
      </w:r>
      <w:r>
        <w:rPr>
          <w:rFonts w:hint="eastAsia" w:ascii="宋体" w:hAnsi="宋体" w:cs="宋体"/>
          <w:b/>
          <w:bCs/>
          <w:color w:val="auto"/>
          <w:sz w:val="24"/>
          <w:szCs w:val="24"/>
          <w:highlight w:val="none"/>
          <w:u w:val="single"/>
        </w:rPr>
        <w:t xml:space="preserve">，</w:t>
      </w:r>
      <w:r>
        <w:rPr>
          <w:rFonts w:hint="eastAsia" w:ascii="宋体" w:hAnsi="宋体" w:cs="宋体"/>
          <w:color w:val="auto"/>
          <w:sz w:val="24"/>
          <w:szCs w:val="24"/>
          <w:highlight w:val="none"/>
        </w:rPr>
        <w:t xml:space="preserve">具有省级建设行政主管部门颁发的安全生产许可证，并在人员、设备、资金等方面具有相应的施工能力。</w:t>
      </w:r>
      <w:bookmarkEnd w:id="29"/>
      <w:r/>
      <w:bookmarkEnd w:id="30"/>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w:t>
      </w:r>
      <w:bookmarkStart w:id="31" w:name="_Hlk185271584"/>
      <w:r>
        <w:rPr>
          <w:rFonts w:hint="eastAsia" w:ascii="宋体" w:hAnsi="宋体"/>
          <w:color w:val="auto"/>
          <w:sz w:val="24"/>
          <w:szCs w:val="24"/>
          <w:highlight w:val="none"/>
        </w:rPr>
        <w:t xml:space="preserve">磋商供应商未被“信用中国”网站、中国政府采购网和国家企业信用信息公示系统列入失信被执行人、重大税收违法案件当事人名单、政府采购严重违法失信行为记录名单、经营异常名录和严重违法失信企业名单、拖欠农民工工资失信联合惩戒对象名单、安全生产严重失信主体名单。（响应文件中无需提供证明材料）</w:t>
      </w:r>
      <w:bookmarkEnd w:id="31"/>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）磋商供应商须能够在20分钟内到达现场。（可提供包含但不限于定位、导航等，目的地为五接镇人民政府）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磋商供应商成交后需在项目所在镇区设有办事地点和负压设备耗材仓库，且拟投入人员满足采购需求中的最低标准。（提供拟派项目组成人员一览表、中标后在项目所在镇区设有办事地点和负压设备耗材仓库的承诺）</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）符合法律、法规规定的其他条件。</w:t>
      </w:r>
      <w:r/>
    </w:p>
    <w:p>
      <w:pPr>
        <w:ind w:firstLine="498"/>
        <w:keepLines/>
        <w:keepNext/>
        <w:spacing w:before="143" w:after="143" w:line="360" w:lineRule="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三、获取</w:t>
      </w:r>
      <w:bookmarkEnd w:id="24"/>
      <w:r/>
      <w:bookmarkEnd w:id="25"/>
      <w:r/>
      <w:bookmarkEnd w:id="26"/>
      <w:r/>
      <w:bookmarkEnd w:id="27"/>
      <w:r/>
      <w:bookmarkEnd w:id="28"/>
      <w:r>
        <w:rPr>
          <w:rFonts w:hint="eastAsia" w:ascii="Times New Roman" w:hAnsi="Times New Roman"/>
          <w:b/>
          <w:bCs/>
          <w:color w:val="auto"/>
          <w:sz w:val="32"/>
          <w:szCs w:val="32"/>
          <w:highlight w:val="none"/>
        </w:rPr>
        <w:t xml:space="preserve">磋商文件</w:t>
      </w:r>
      <w:r/>
    </w:p>
    <w:p>
      <w:pPr>
        <w:ind w:firstLine="540"/>
        <w:spacing w:line="360" w:lineRule="auto"/>
        <w:rPr>
          <w:rFonts w:ascii="宋体" w:hAnsi="宋体" w:cs="宋体"/>
          <w:b/>
          <w:color w:val="auto"/>
          <w:sz w:val="24"/>
          <w:szCs w:val="24"/>
          <w:highlight w:val="none"/>
        </w:rPr>
      </w:pPr>
      <w:r/>
      <w:bookmarkStart w:id="32" w:name="_Toc28359082"/>
      <w:r/>
      <w:bookmarkStart w:id="33" w:name="_Toc28359005"/>
      <w:r/>
      <w:bookmarkStart w:id="34" w:name="_Toc38985266"/>
      <w:r/>
      <w:bookmarkStart w:id="35" w:name="_Toc35393624"/>
      <w:r/>
      <w:bookmarkStart w:id="36" w:name="_Toc35393793"/>
      <w:r>
        <w:rPr>
          <w:rFonts w:hint="eastAsia" w:ascii="宋体" w:hAnsi="宋体" w:cs="宋体"/>
          <w:color w:val="auto"/>
          <w:sz w:val="24"/>
          <w:szCs w:val="24"/>
          <w:highlight w:val="none"/>
        </w:rPr>
        <w:t xml:space="preserve">1.时间：自磋商文件公告发布之日起5个工作日。</w:t>
      </w:r>
      <w:r/>
    </w:p>
    <w:p>
      <w:pPr>
        <w:ind w:firstLine="54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2.方式：在“江苏政府采购网”自行免费下载磋商文件。</w:t>
      </w:r>
      <w:r/>
    </w:p>
    <w:p>
      <w:pPr>
        <w:ind w:firstLine="5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2.1潜在供应商访问电子招标响应交易平台的网络地址和方法：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2.2潜在供应商访问“苏采云”系统的网络地址和方法：“苏采云”系统的网址：http://jszfcg.jsczt.cn/。</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2.3“CA数字证书”的获取：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供应商需办理CA锁，“苏采云”系统目前仅支持国信CA，省内各地区办理的用于“苏采云”平台的国信CA全省通用。南通地区“CA数字证书”的办理：南通市政务中心四楼，电话：18951314963。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2.5采购人或采购代理机构将数据电文形式的采购文件加载至“苏采云”系统，供潜在供应商下载或者查阅。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2.6请潜在供应商提前安装相应的控件（详见《（苏采云）供应商操作手册》）并使用谷歌浏览器登录“苏采云”系统参与不见面开评标。</w:t>
      </w:r>
      <w:r/>
    </w:p>
    <w:p>
      <w:pPr>
        <w:ind w:firstLine="498"/>
        <w:keepLines/>
        <w:keepNext/>
        <w:spacing w:before="143" w:after="143" w:line="360" w:lineRule="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四、提交</w:t>
      </w:r>
      <w:bookmarkEnd w:id="32"/>
      <w:r/>
      <w:bookmarkEnd w:id="33"/>
      <w:r>
        <w:rPr>
          <w:rFonts w:hint="eastAsia" w:ascii="Times New Roman" w:hAnsi="Times New Roman"/>
          <w:b/>
          <w:bCs/>
          <w:color w:val="auto"/>
          <w:sz w:val="32"/>
          <w:szCs w:val="32"/>
          <w:highlight w:val="none"/>
        </w:rPr>
        <w:t xml:space="preserve">响应文件截止时间</w:t>
      </w:r>
      <w:bookmarkEnd w:id="34"/>
      <w:r/>
      <w:bookmarkEnd w:id="35"/>
      <w:r/>
      <w:bookmarkEnd w:id="36"/>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9时0</w:t>
      </w:r>
      <w:r>
        <w:rPr>
          <w:rFonts w:hint="eastAsia" w:ascii="宋体" w:hAnsi="宋体"/>
          <w:bCs/>
          <w:color w:val="auto"/>
          <w:sz w:val="24"/>
          <w:szCs w:val="24"/>
          <w:highlight w:val="none"/>
        </w:rPr>
        <w:t xml:space="preserve">0分（北京时间）。</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注：各供应商请关注开标大厅交流区，在开标结束后，请勿离开开标大厅。资格评审、符合性审查结束后，供应商就所有内容进行最后报价，少报无效。最后报价将作为评审价。系统发送最后报价填报通知后，所有的</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须在系统规定时间内填写并提交最后报价，未在规定时间内提交最后报价的，视作无效响应处理。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2.线上开标地点：“苏采云”系统（网址：http://jszfcg.jsczt.cn/）“开标大厅”。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3.响应文件的解密：开标当天各供应商及</w:t>
      </w:r>
      <w:r>
        <w:rPr>
          <w:rFonts w:hint="eastAsia" w:ascii="宋体" w:hAnsi="宋体"/>
          <w:bCs/>
          <w:color w:val="auto"/>
          <w:sz w:val="24"/>
          <w:szCs w:val="24"/>
          <w:highlight w:val="none"/>
        </w:rPr>
        <w:t xml:space="preserve">时登录不见面开标大厅，响应文件递交截止时间后，投标供应商通过开标会议区发出响应文件解密的指令，投标供应商在苏彩云系统按规定时间自行实施远程解密。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98"/>
        <w:keepLines/>
        <w:keepNext/>
        <w:spacing w:before="143" w:after="143" w:line="360" w:lineRule="auto"/>
        <w:rPr>
          <w:rFonts w:ascii="Times New Roman" w:hAnsi="Times New Roman"/>
          <w:b/>
          <w:bCs/>
          <w:color w:val="auto"/>
          <w:sz w:val="32"/>
          <w:szCs w:val="32"/>
          <w:highlight w:val="none"/>
        </w:rPr>
        <w:outlineLvl w:val="2"/>
      </w:pPr>
      <w:r/>
      <w:bookmarkStart w:id="37" w:name="_Toc28359084"/>
      <w:r/>
      <w:bookmarkStart w:id="38" w:name="_Toc35393794"/>
      <w:r/>
      <w:bookmarkStart w:id="39" w:name="_Toc38985267"/>
      <w:r/>
      <w:bookmarkStart w:id="40" w:name="_Toc28359007"/>
      <w:r/>
      <w:bookmarkStart w:id="41" w:name="_Toc35393625"/>
      <w:r>
        <w:rPr>
          <w:rFonts w:hint="eastAsia" w:ascii="Times New Roman" w:hAnsi="Times New Roman"/>
          <w:b/>
          <w:bCs/>
          <w:color w:val="auto"/>
          <w:sz w:val="32"/>
          <w:szCs w:val="32"/>
          <w:highlight w:val="none"/>
        </w:rPr>
        <w:t xml:space="preserve">五、公告期限</w:t>
      </w:r>
      <w:bookmarkEnd w:id="37"/>
      <w:r/>
      <w:bookmarkEnd w:id="38"/>
      <w:r/>
      <w:bookmarkEnd w:id="39"/>
      <w:r/>
      <w:bookmarkEnd w:id="40"/>
      <w:r/>
      <w:bookmarkEnd w:id="41"/>
      <w:r/>
      <w:r/>
    </w:p>
    <w:p>
      <w:pPr>
        <w:ind w:firstLine="480"/>
        <w:spacing w:line="360" w:lineRule="auto"/>
        <w:rPr>
          <w:rFonts w:ascii="宋体" w:hAnsi="宋体" w:cs="宋体"/>
          <w:color w:val="auto"/>
          <w:sz w:val="24"/>
          <w:szCs w:val="24"/>
          <w:highlight w:val="none"/>
        </w:rPr>
      </w:pPr>
      <w:r/>
      <w:bookmarkStart w:id="42" w:name="_Toc38985268"/>
      <w:r/>
      <w:bookmarkStart w:id="43" w:name="_Toc35393626"/>
      <w:r/>
      <w:bookmarkStart w:id="44" w:name="_Toc35393795"/>
      <w:r>
        <w:rPr>
          <w:rFonts w:hint="eastAsia" w:ascii="宋体" w:hAnsi="宋体" w:cs="宋体"/>
          <w:color w:val="auto"/>
          <w:sz w:val="24"/>
          <w:szCs w:val="24"/>
          <w:highlight w:val="none"/>
        </w:rPr>
        <w:t xml:space="preserve">磋商公告及磋商文件公告期限为自本公告发布之日起5个工作日。</w:t>
      </w:r>
      <w:r/>
    </w:p>
    <w:p>
      <w:pPr>
        <w:ind w:firstLine="498"/>
        <w:keepLines/>
        <w:keepNext/>
        <w:spacing w:before="143" w:after="143" w:line="360" w:lineRule="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六、其他补充事宜</w:t>
      </w:r>
      <w:bookmarkEnd w:id="42"/>
      <w:r/>
      <w:bookmarkEnd w:id="43"/>
      <w:r/>
      <w:bookmarkEnd w:id="44"/>
      <w:r/>
      <w:r/>
    </w:p>
    <w:p>
      <w:pPr>
        <w:ind w:firstLine="480"/>
        <w:spacing w:line="360" w:lineRule="auto"/>
        <w:rPr>
          <w:rFonts w:hint="eastAsia" w:ascii="宋体" w:hAnsi="宋体" w:cs="宋体"/>
          <w:color w:val="auto"/>
          <w:sz w:val="24"/>
          <w:szCs w:val="24"/>
          <w:highlight w:val="none"/>
        </w:rPr>
      </w:pPr>
      <w:r/>
      <w:bookmarkStart w:id="45" w:name="_Toc38985269"/>
      <w:r/>
      <w:bookmarkStart w:id="46" w:name="_Toc35393627"/>
      <w:r/>
      <w:bookmarkStart w:id="47" w:name="_Toc35393796"/>
      <w:r/>
      <w:bookmarkStart w:id="48" w:name="_Toc28359008"/>
      <w:r/>
      <w:bookmarkStart w:id="49" w:name="_Toc28359085"/>
      <w:r>
        <w:rPr>
          <w:rFonts w:hint="eastAsia" w:ascii="宋体" w:hAnsi="宋体" w:cs="宋体"/>
          <w:color w:val="auto"/>
          <w:sz w:val="24"/>
          <w:szCs w:val="24"/>
          <w:highlight w:val="none"/>
        </w:rPr>
        <w:t xml:space="preserve">1.磋商保证金：本项目不收磋商保证金，采购文件中涉及磋商保证金的事项，均按免收磋商保证金执行。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2.项目磋商活动模式：不见面远程磋商模式，供应商在各自地点通过不见面交易系统参加开标会。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项目需求部分（供应商资格要求、项目需求、商务技术评分标准）的询问、质疑请向采购人提出，由采购人负责答复；对项目磋商文件其它部分的询问请向磋商文件制作人或项目磋商经办人提出；对在“电子交易平台”操作阶段的询问请向交易系统软件维护人员提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5.潜在供应商对竞争性磋商文件的询问、质疑请向采购人提出，由采购人负责答复。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6.磋商响应文件制作份数要求：本项目为远程不见面电子标，成交供应商在公示结束后须提供叁份纸质版响应文件正本至采购人或招标代理处，纸质版响应文件须与电子文件一致，否则不予签订合同。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7.有关本次磋商采购的事项若存在变动或修改，敬请及时关注“江苏政府采购网”发布的更正公告。</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8.本次采购项目磋商结束后需提供最终报价。</w:t>
      </w:r>
      <w:r/>
    </w:p>
    <w:p>
      <w:pPr>
        <w:ind w:firstLine="498"/>
        <w:keepLines/>
        <w:keepNext/>
        <w:spacing w:before="143" w:after="143" w:line="360" w:lineRule="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七、本次磋商联系方式</w:t>
      </w:r>
      <w:bookmarkEnd w:id="45"/>
      <w:r/>
      <w:bookmarkEnd w:id="46"/>
      <w:r/>
      <w:bookmarkEnd w:id="47"/>
      <w:r/>
      <w:bookmarkEnd w:id="48"/>
      <w:r/>
      <w:bookmarkEnd w:id="49"/>
      <w:r/>
      <w:r/>
    </w:p>
    <w:p>
      <w:pPr>
        <w:ind w:firstLine="480"/>
        <w:spacing w:line="360" w:lineRule="auto"/>
        <w:rPr>
          <w:rFonts w:hint="eastAsia" w:ascii="宋体" w:hAnsi="宋体" w:cs="宋体"/>
          <w:color w:val="auto"/>
          <w:sz w:val="24"/>
          <w:szCs w:val="24"/>
          <w:highlight w:val="none"/>
        </w:rPr>
      </w:pPr>
      <w:r/>
      <w:bookmarkStart w:id="50" w:name="_Toc28359087"/>
      <w:r/>
      <w:bookmarkStart w:id="51" w:name="_Toc28359010"/>
      <w:r>
        <w:rPr>
          <w:rFonts w:hint="eastAsia" w:ascii="宋体" w:hAnsi="宋体" w:cs="宋体"/>
          <w:color w:val="auto"/>
          <w:sz w:val="24"/>
          <w:szCs w:val="24"/>
          <w:highlight w:val="none"/>
        </w:rPr>
        <w:t xml:space="preserve">1.采购人信息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称：南通市通州区五接镇人民政府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址：南通市通州区五接镇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联系人：郑女士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ascii="宋体" w:hAnsi="宋体" w:cs="宋体"/>
          <w:color w:val="auto"/>
          <w:sz w:val="24"/>
          <w:szCs w:val="24"/>
          <w:highlight w:val="none"/>
        </w:rPr>
        <w:t xml:space="preserve">15996586048  </w:t>
      </w:r>
      <w:r>
        <w:rPr>
          <w:rFonts w:hint="eastAsia" w:ascii="宋体" w:hAnsi="宋体" w:cs="宋体"/>
          <w:color w:val="auto"/>
          <w:sz w:val="24"/>
          <w:szCs w:val="24"/>
          <w:highlight w:val="none"/>
        </w:rPr>
        <w:t xml:space="preserve">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2.招标代理信息</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 称：江苏中房工程咨询有限公司</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址：南通市江海大道8</w:t>
      </w:r>
      <w:r>
        <w:rPr>
          <w:rFonts w:ascii="宋体" w:hAnsi="宋体" w:cs="宋体"/>
          <w:color w:val="auto"/>
          <w:sz w:val="24"/>
          <w:szCs w:val="24"/>
          <w:highlight w:val="none"/>
        </w:rPr>
        <w:t xml:space="preserve">17</w:t>
      </w:r>
      <w:r>
        <w:rPr>
          <w:rFonts w:hint="eastAsia" w:ascii="宋体" w:hAnsi="宋体" w:cs="宋体"/>
          <w:color w:val="auto"/>
          <w:sz w:val="24"/>
          <w:szCs w:val="24"/>
          <w:highlight w:val="none"/>
        </w:rPr>
        <w:t xml:space="preserve">号江海财富大厦A座7楼</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联系人：吴江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仿宋" w:hAnsi="仿宋" w:eastAsia="仿宋" w:cs="宋体"/>
          <w:color w:val="auto"/>
          <w:sz w:val="24"/>
          <w:szCs w:val="24"/>
          <w:highlight w:val="none"/>
        </w:rPr>
        <w:t xml:space="preserve">0513-68002662</w:t>
      </w:r>
      <w:r>
        <w:rPr>
          <w:rFonts w:hint="eastAsia" w:ascii="宋体" w:hAnsi="宋体" w:cs="宋体"/>
          <w:color w:val="auto"/>
          <w:sz w:val="24"/>
          <w:szCs w:val="24"/>
          <w:highlight w:val="none"/>
        </w:rPr>
        <w:t xml:space="preserve">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交易系统软件维护人员：</w:t>
      </w:r>
      <w:r>
        <w:rPr>
          <w:rFonts w:ascii="宋体" w:hAnsi="宋体" w:cs="宋体"/>
          <w:color w:val="auto"/>
          <w:sz w:val="24"/>
          <w:szCs w:val="24"/>
          <w:highlight w:val="none"/>
        </w:rPr>
        <w:t xml:space="preserve">0519-86722801</w:t>
      </w:r>
      <w:r>
        <w:rPr>
          <w:rFonts w:hint="eastAsia" w:ascii="宋体" w:hAnsi="宋体" w:cs="宋体"/>
          <w:color w:val="auto"/>
          <w:sz w:val="24"/>
          <w:szCs w:val="24"/>
          <w:highlight w:val="none"/>
        </w:rPr>
        <w:t xml:space="preserve"> 0519-86722806</w:t>
      </w:r>
      <w:bookmarkEnd w:id="50"/>
      <w:r/>
      <w:bookmarkEnd w:id="51"/>
      <w:r/>
      <w:r/>
    </w:p>
    <w:p>
      <w:pPr>
        <w:ind w:right="8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hAnsi="Arial" w:eastAsia="黑体" w:cs="Arial"/>
          <w:b/>
          <w:bCs/>
          <w:color w:val="auto"/>
          <w:sz w:val="44"/>
          <w:szCs w:val="44"/>
          <w:highlight w:val="none"/>
        </w:rPr>
      </w:pPr>
      <w:r/>
      <w:bookmarkStart w:id="52" w:name="_Toc120614211"/>
      <w:r>
        <w:rPr>
          <w:rFonts w:hint="eastAsia" w:ascii="黑体" w:hAnsi="Arial" w:eastAsia="黑体" w:cs="Arial"/>
          <w:b/>
          <w:bCs/>
          <w:color w:val="auto"/>
          <w:sz w:val="44"/>
          <w:szCs w:val="44"/>
          <w:highlight w:val="none"/>
        </w:rPr>
        <w:br w:type="page" w:clear="all"/>
      </w:r>
      <w:r/>
    </w:p>
    <w:p>
      <w:pPr>
        <w:jc w:val="center"/>
        <w:keepLines/>
        <w:keepNext/>
        <w:spacing w:before="260" w:after="260" w:line="360" w:lineRule="auto"/>
        <w:rPr>
          <w:rFonts w:hint="eastAsia" w:ascii="黑体" w:hAnsi="Arial" w:eastAsia="黑体" w:cs="Arial"/>
          <w:color w:val="auto"/>
          <w:sz w:val="44"/>
          <w:szCs w:val="44"/>
          <w:highlight w:val="none"/>
        </w:rPr>
        <w:outlineLvl w:val="1"/>
      </w:pPr>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52"/>
      <w:r>
        <w:rPr>
          <w:rFonts w:hint="eastAsia" w:ascii="黑体" w:hAnsi="Arial" w:eastAsia="黑体" w:cs="Arial"/>
          <w:b/>
          <w:bCs/>
          <w:color w:val="auto"/>
          <w:sz w:val="44"/>
          <w:szCs w:val="44"/>
          <w:highlight w:val="none"/>
        </w:rPr>
        <w:t xml:space="preserve">供应商须知</w:t>
      </w:r>
      <w:r/>
    </w:p>
    <w:p>
      <w:pPr>
        <w:ind w:firstLine="498"/>
        <w:keepLines/>
        <w:keepNext/>
        <w:spacing w:before="143" w:after="143" w:line="360" w:lineRule="auto"/>
        <w:rPr>
          <w:rFonts w:hint="eastAsia" w:ascii="Times New Roman" w:hAnsi="Times New Roman"/>
          <w:b/>
          <w:bCs/>
          <w:color w:val="auto"/>
          <w:sz w:val="32"/>
          <w:szCs w:val="32"/>
          <w:highlight w:val="none"/>
        </w:rPr>
        <w:outlineLvl w:val="2"/>
      </w:pPr>
      <w:r/>
      <w:bookmarkStart w:id="53" w:name="_Toc20823275"/>
      <w:r/>
      <w:bookmarkStart w:id="54" w:name="_Toc16938519"/>
      <w:r/>
      <w:bookmarkStart w:id="55" w:name="_Toc120614214"/>
      <w:r/>
      <w:bookmarkStart w:id="56" w:name="_Toc513029203"/>
      <w:r>
        <w:rPr>
          <w:rFonts w:hint="eastAsia" w:ascii="Times New Roman" w:hAnsi="Times New Roman"/>
          <w:b/>
          <w:bCs/>
          <w:color w:val="auto"/>
          <w:sz w:val="32"/>
          <w:szCs w:val="32"/>
          <w:highlight w:val="none"/>
        </w:rPr>
        <w:t xml:space="preserve">一、总则</w:t>
      </w:r>
      <w:bookmarkEnd w:id="53"/>
      <w:r/>
      <w:bookmarkEnd w:id="54"/>
      <w:r/>
      <w:bookmarkEnd w:id="55"/>
      <w:r/>
      <w:bookmarkEnd w:id="56"/>
      <w:r/>
      <w:r/>
    </w:p>
    <w:p>
      <w:pPr>
        <w:ind w:firstLine="420"/>
        <w:keepLines/>
        <w:keepNext/>
        <w:spacing w:line="360" w:lineRule="auto"/>
        <w:rPr>
          <w:rFonts w:hint="eastAsia" w:ascii="Arial" w:hAnsi="Arial" w:eastAsia="黑体" w:cs="Arial"/>
          <w:color w:val="auto"/>
          <w:sz w:val="28"/>
          <w:szCs w:val="28"/>
          <w:highlight w:val="none"/>
        </w:rPr>
        <w:outlineLvl w:val="3"/>
      </w:pPr>
      <w:r/>
      <w:bookmarkStart w:id="57" w:name="_Hlt16619475"/>
      <w:r/>
      <w:bookmarkEnd w:id="57"/>
      <w:r/>
      <w:bookmarkStart w:id="58" w:name="_Toc458694821"/>
      <w:r/>
      <w:bookmarkStart w:id="59" w:name="_Toc16938520"/>
      <w:r/>
      <w:bookmarkStart w:id="60" w:name="_Toc513029204"/>
      <w:r/>
      <w:bookmarkStart w:id="61" w:name="_Toc20823276"/>
      <w:r>
        <w:rPr>
          <w:rFonts w:hint="eastAsia" w:ascii="Arial" w:hAnsi="Arial" w:eastAsia="黑体" w:cs="Arial"/>
          <w:color w:val="auto"/>
          <w:sz w:val="28"/>
          <w:szCs w:val="28"/>
          <w:highlight w:val="none"/>
        </w:rPr>
        <w:t xml:space="preserve">1</w:t>
      </w:r>
      <w:bookmarkEnd w:id="58"/>
      <w:r>
        <w:rPr>
          <w:rFonts w:hint="eastAsia" w:ascii="Arial" w:hAnsi="Arial" w:eastAsia="黑体" w:cs="Arial"/>
          <w:color w:val="auto"/>
          <w:sz w:val="28"/>
          <w:szCs w:val="28"/>
          <w:highlight w:val="none"/>
        </w:rPr>
        <w:t xml:space="preserve">、采购方式</w:t>
      </w:r>
      <w:bookmarkEnd w:id="59"/>
      <w:r/>
      <w:bookmarkEnd w:id="60"/>
      <w:r/>
      <w:bookmarkEnd w:id="61"/>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1.1 本次政府采购活动采取竞争性磋商(以下简称磋商)方式，本磋商文件仅适用于磋商公告中所述项目。</w:t>
      </w:r>
      <w:r/>
    </w:p>
    <w:p>
      <w:pPr>
        <w:ind w:firstLine="420"/>
        <w:keepLines/>
        <w:keepNext/>
        <w:spacing w:line="360" w:lineRule="auto"/>
        <w:rPr>
          <w:rFonts w:hint="eastAsia" w:ascii="Arial" w:hAnsi="Arial" w:eastAsia="黑体" w:cs="Arial"/>
          <w:color w:val="auto"/>
          <w:sz w:val="28"/>
          <w:szCs w:val="28"/>
          <w:highlight w:val="none"/>
        </w:rPr>
        <w:outlineLvl w:val="3"/>
      </w:pPr>
      <w:r/>
      <w:bookmarkStart w:id="62" w:name="_Toc20823277"/>
      <w:r/>
      <w:bookmarkStart w:id="63" w:name="_Toc513029205"/>
      <w:r/>
      <w:bookmarkStart w:id="64" w:name="_Toc16938521"/>
      <w:r>
        <w:rPr>
          <w:rFonts w:hint="eastAsia" w:ascii="Arial" w:hAnsi="Arial" w:eastAsia="黑体" w:cs="Arial"/>
          <w:color w:val="auto"/>
          <w:sz w:val="28"/>
          <w:szCs w:val="28"/>
          <w:highlight w:val="none"/>
        </w:rPr>
        <w:t xml:space="preserve">2、合格的</w:t>
      </w:r>
      <w:bookmarkEnd w:id="62"/>
      <w:r/>
      <w:bookmarkEnd w:id="63"/>
      <w:r/>
      <w:bookmarkEnd w:id="64"/>
      <w:r>
        <w:rPr>
          <w:rFonts w:hint="eastAsia" w:ascii="Arial" w:hAnsi="Arial" w:eastAsia="黑体" w:cs="Arial"/>
          <w:color w:val="auto"/>
          <w:sz w:val="28"/>
          <w:szCs w:val="28"/>
          <w:highlight w:val="none"/>
        </w:rPr>
        <w:t xml:space="preserve">供应商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2.1满足磋商公告中供应商资格要求的规定。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 满足本磋商文件实质性要求和条件的规定。</w:t>
      </w:r>
      <w:r/>
    </w:p>
    <w:p>
      <w:pPr>
        <w:ind w:firstLine="420"/>
        <w:keepLines/>
        <w:keepNext/>
        <w:spacing w:line="360" w:lineRule="auto"/>
        <w:rPr>
          <w:rFonts w:hint="eastAsia" w:ascii="Arial" w:hAnsi="Arial" w:eastAsia="黑体" w:cs="Arial"/>
          <w:color w:val="auto"/>
          <w:sz w:val="28"/>
          <w:szCs w:val="28"/>
          <w:highlight w:val="none"/>
        </w:rPr>
        <w:outlineLvl w:val="3"/>
      </w:pPr>
      <w:r/>
      <w:bookmarkStart w:id="65" w:name="_Toc513029206"/>
      <w:r/>
      <w:bookmarkStart w:id="66" w:name="_Toc20823278"/>
      <w:r/>
      <w:bookmarkStart w:id="67" w:name="_Toc16938522"/>
      <w:r>
        <w:rPr>
          <w:rFonts w:hint="eastAsia" w:ascii="Arial" w:hAnsi="Arial" w:eastAsia="黑体" w:cs="Arial"/>
          <w:color w:val="auto"/>
          <w:sz w:val="28"/>
          <w:szCs w:val="28"/>
          <w:highlight w:val="none"/>
        </w:rPr>
        <w:t xml:space="preserve">3、适用法律</w:t>
      </w:r>
      <w:bookmarkEnd w:id="65"/>
      <w:r/>
      <w:bookmarkEnd w:id="66"/>
      <w:r/>
      <w:bookmarkEnd w:id="67"/>
      <w:r/>
      <w:r/>
    </w:p>
    <w:p>
      <w:pPr>
        <w:ind w:firstLine="42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3.1 本次磋商及由此产生的合同受中华人民共和国有关的法律法规制约和保护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360" w:lineRule="auto"/>
        <w:rPr>
          <w:rFonts w:hint="eastAsia" w:ascii="Arial" w:hAnsi="Arial" w:eastAsia="黑体" w:cs="Arial"/>
          <w:color w:val="auto"/>
          <w:sz w:val="28"/>
          <w:szCs w:val="28"/>
          <w:highlight w:val="none"/>
        </w:rPr>
        <w:outlineLvl w:val="3"/>
      </w:pPr>
      <w:r/>
      <w:bookmarkStart w:id="68" w:name="_Toc20823279"/>
      <w:r/>
      <w:bookmarkStart w:id="69" w:name="_Toc16938523"/>
      <w:r/>
      <w:bookmarkStart w:id="70" w:name="_Toc513029207"/>
      <w:r/>
      <w:bookmarkStart w:id="71" w:name="_Toc462564067"/>
      <w:r>
        <w:rPr>
          <w:rFonts w:hint="eastAsia" w:ascii="Arial" w:hAnsi="Arial" w:eastAsia="黑体" w:cs="Arial"/>
          <w:color w:val="auto"/>
          <w:sz w:val="28"/>
          <w:szCs w:val="28"/>
          <w:highlight w:val="none"/>
        </w:rPr>
        <w:t xml:space="preserve">4、磋商费用</w:t>
      </w:r>
      <w:bookmarkEnd w:id="68"/>
      <w:r/>
      <w:bookmarkEnd w:id="69"/>
      <w:r/>
      <w:bookmarkEnd w:id="70"/>
      <w:r/>
      <w:bookmarkEnd w:id="71"/>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4.1供应商应自行承担所有与参加本次磋商有关的费用，无论磋商过程中的做法和结果如何，采购人或代理机构在任何情况下均无义务和责任承担这些费用。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4.2</w:t>
      </w:r>
      <w:r>
        <w:rPr>
          <w:rFonts w:hint="eastAsia" w:ascii="宋体" w:hAnsi="宋体"/>
          <w:b/>
          <w:bCs/>
          <w:color w:val="auto"/>
          <w:sz w:val="24"/>
          <w:szCs w:val="24"/>
          <w:highlight w:val="none"/>
        </w:rPr>
        <w:t xml:space="preserve">本项目招标代理服务费：</w:t>
      </w:r>
      <w:bookmarkStart w:id="72" w:name="_Hlk171534803"/>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000元，由成交</w:t>
      </w:r>
      <w:r>
        <w:rPr>
          <w:rFonts w:hint="eastAsia" w:ascii="宋体" w:hAnsi="宋体"/>
          <w:b/>
          <w:bCs/>
          <w:color w:val="auto"/>
          <w:sz w:val="24"/>
          <w:szCs w:val="24"/>
          <w:highlight w:val="none"/>
          <w:lang w:val="en-US" w:eastAsia="zh-CN"/>
        </w:rPr>
        <w:t xml:space="preserve">供应商</w:t>
      </w:r>
      <w:r>
        <w:rPr>
          <w:rFonts w:hint="eastAsia" w:ascii="宋体" w:hAnsi="宋体"/>
          <w:b/>
          <w:bCs/>
          <w:color w:val="auto"/>
          <w:sz w:val="24"/>
          <w:szCs w:val="24"/>
          <w:highlight w:val="none"/>
        </w:rPr>
        <w:t xml:space="preserve">支付，</w:t>
      </w:r>
      <w:r>
        <w:rPr>
          <w:rFonts w:hint="eastAsia" w:ascii="宋体" w:hAnsi="宋体"/>
          <w:b/>
          <w:bCs/>
          <w:color w:val="auto"/>
          <w:sz w:val="24"/>
          <w:szCs w:val="24"/>
          <w:highlight w:val="none"/>
          <w:lang w:val="en-US" w:eastAsia="zh-CN"/>
        </w:rPr>
        <w:t xml:space="preserve">不单列，</w:t>
      </w:r>
      <w:r>
        <w:rPr>
          <w:rFonts w:hint="eastAsia" w:ascii="宋体" w:hAnsi="宋体"/>
          <w:b/>
          <w:bCs/>
          <w:color w:val="auto"/>
          <w:sz w:val="24"/>
          <w:szCs w:val="24"/>
          <w:highlight w:val="none"/>
        </w:rPr>
        <w:t xml:space="preserve">报价时综合考虑。</w:t>
      </w:r>
      <w:bookmarkEnd w:id="72"/>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4.3本项目不收取磋商文件费。</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5、磋商文件的约束力</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ind w:firstLine="321"/>
        <w:keepLines/>
        <w:keepNext/>
        <w:spacing w:before="143" w:after="143" w:line="360" w:lineRule="auto"/>
        <w:rPr>
          <w:rFonts w:hint="eastAsia" w:ascii="Times New Roman" w:hAnsi="Times New Roman"/>
          <w:b/>
          <w:bCs/>
          <w:color w:val="auto"/>
          <w:sz w:val="32"/>
          <w:szCs w:val="32"/>
          <w:highlight w:val="none"/>
        </w:rPr>
        <w:outlineLvl w:val="2"/>
      </w:pPr>
      <w:r/>
      <w:bookmarkStart w:id="73" w:name="_Toc120614215"/>
      <w:r/>
      <w:bookmarkStart w:id="74" w:name="_Toc20823281"/>
      <w:r/>
      <w:bookmarkStart w:id="75" w:name="_Toc513029209"/>
      <w:r/>
      <w:bookmarkStart w:id="76" w:name="_Toc16938525"/>
      <w:r>
        <w:rPr>
          <w:rFonts w:hint="eastAsia" w:ascii="Times New Roman" w:hAnsi="Times New Roman"/>
          <w:b/>
          <w:bCs/>
          <w:color w:val="auto"/>
          <w:sz w:val="32"/>
          <w:szCs w:val="32"/>
          <w:highlight w:val="none"/>
        </w:rPr>
        <w:t xml:space="preserve">二、</w:t>
      </w:r>
      <w:bookmarkEnd w:id="73"/>
      <w:r/>
      <w:bookmarkEnd w:id="74"/>
      <w:r/>
      <w:bookmarkEnd w:id="75"/>
      <w:r/>
      <w:bookmarkEnd w:id="76"/>
      <w:r>
        <w:rPr>
          <w:rFonts w:hint="eastAsia" w:ascii="Times New Roman" w:hAnsi="Times New Roman"/>
          <w:b/>
          <w:bCs/>
          <w:color w:val="auto"/>
          <w:sz w:val="32"/>
          <w:szCs w:val="32"/>
          <w:highlight w:val="none"/>
        </w:rPr>
        <w:t xml:space="preserve">磋商文件</w:t>
      </w:r>
      <w:r/>
    </w:p>
    <w:p>
      <w:pPr>
        <w:ind w:firstLine="420"/>
        <w:keepLines/>
        <w:keepNext/>
        <w:spacing w:line="360" w:lineRule="auto"/>
        <w:rPr>
          <w:rFonts w:hint="eastAsia" w:ascii="Arial" w:hAnsi="Arial" w:eastAsia="黑体" w:cs="Arial"/>
          <w:color w:val="auto"/>
          <w:sz w:val="28"/>
          <w:szCs w:val="28"/>
          <w:highlight w:val="none"/>
        </w:rPr>
        <w:outlineLvl w:val="3"/>
      </w:pPr>
      <w:r/>
      <w:bookmarkStart w:id="77" w:name="_Toc20823282"/>
      <w:r/>
      <w:bookmarkStart w:id="78" w:name="_Toc513029210"/>
      <w:r/>
      <w:bookmarkStart w:id="79" w:name="_Toc16938526"/>
      <w:r>
        <w:rPr>
          <w:rFonts w:hint="eastAsia" w:ascii="Arial" w:hAnsi="Arial" w:eastAsia="黑体" w:cs="Arial"/>
          <w:color w:val="auto"/>
          <w:sz w:val="28"/>
          <w:szCs w:val="28"/>
          <w:highlight w:val="none"/>
        </w:rPr>
        <w:t xml:space="preserve">6、磋商文件构成</w:t>
      </w:r>
      <w:bookmarkEnd w:id="77"/>
      <w:r/>
      <w:bookmarkEnd w:id="78"/>
      <w:r/>
      <w:bookmarkEnd w:id="79"/>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磋商文件由以下部分组成：</w:t>
      </w:r>
      <w:r/>
    </w:p>
    <w:p>
      <w:pPr>
        <w:ind w:firstLine="36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竞争性磋商公告</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（2）供应商须知</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（5）评审方法与评审标准</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（6）响应文件格式</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请仔细检查磋商文件是否齐全，如有缺漏请立即与</w:t>
      </w:r>
      <w:r>
        <w:rPr>
          <w:rFonts w:hint="eastAsia" w:ascii="宋体" w:hAnsi="宋体" w:cs="宋体"/>
          <w:color w:val="auto"/>
          <w:sz w:val="24"/>
          <w:szCs w:val="24"/>
          <w:highlight w:val="none"/>
        </w:rPr>
        <w:t xml:space="preserve">代理机构</w:t>
      </w:r>
      <w:r>
        <w:rPr>
          <w:rFonts w:hint="eastAsia" w:ascii="宋体" w:hAnsi="宋体"/>
          <w:color w:val="auto"/>
          <w:sz w:val="24"/>
          <w:szCs w:val="21"/>
          <w:highlight w:val="none"/>
        </w:rPr>
        <w:t xml:space="preserve">联系解决。</w:t>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360" w:lineRule="auto"/>
        <w:rPr>
          <w:rFonts w:hint="eastAsia" w:ascii="Arial" w:hAnsi="Arial" w:eastAsia="黑体" w:cs="Arial"/>
          <w:color w:val="auto"/>
          <w:sz w:val="28"/>
          <w:szCs w:val="28"/>
          <w:highlight w:val="none"/>
        </w:rPr>
        <w:outlineLvl w:val="3"/>
      </w:pPr>
      <w:r/>
      <w:bookmarkStart w:id="80" w:name="_Toc20823283"/>
      <w:r/>
      <w:bookmarkStart w:id="81" w:name="_Toc462564070"/>
      <w:r/>
      <w:bookmarkStart w:id="82" w:name="_Toc513029211"/>
      <w:r/>
      <w:bookmarkStart w:id="83" w:name="_Toc16938527"/>
      <w:r>
        <w:rPr>
          <w:rFonts w:hint="eastAsia" w:ascii="Arial" w:hAnsi="Arial" w:eastAsia="黑体" w:cs="Arial"/>
          <w:color w:val="auto"/>
          <w:sz w:val="28"/>
          <w:szCs w:val="28"/>
          <w:highlight w:val="none"/>
        </w:rPr>
        <w:t xml:space="preserve">7、磋商文件的澄清</w:t>
      </w:r>
      <w:bookmarkEnd w:id="80"/>
      <w:r/>
      <w:bookmarkEnd w:id="81"/>
      <w:r/>
      <w:bookmarkEnd w:id="82"/>
      <w:r/>
      <w:bookmarkEnd w:id="83"/>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1"/>
          <w:highlight w:val="none"/>
        </w:rPr>
        <w:t xml:space="preserve">7.1任何要求对磋商文件进行澄清的供应商，应在磋商截止期5日</w:t>
      </w:r>
      <w:r>
        <w:rPr>
          <w:rFonts w:hint="eastAsia" w:ascii="仿宋_GB2312" w:hAnsi="仿宋_GB2312"/>
          <w:color w:val="auto"/>
          <w:sz w:val="24"/>
          <w:szCs w:val="24"/>
          <w:highlight w:val="none"/>
        </w:rPr>
        <w:t xml:space="preserve">前</w:t>
      </w:r>
      <w:r>
        <w:rPr>
          <w:rFonts w:hint="eastAsia" w:ascii="宋体" w:hAnsi="宋体"/>
          <w:color w:val="auto"/>
          <w:sz w:val="24"/>
          <w:szCs w:val="21"/>
          <w:highlight w:val="none"/>
        </w:rPr>
        <w:t xml:space="preserve">按磋商公告中的通讯地址，以书面形式通知采购人或代理机构。</w:t>
      </w:r>
      <w:r/>
    </w:p>
    <w:p>
      <w:pPr>
        <w:ind w:firstLine="560"/>
        <w:keepLines/>
        <w:keepNext/>
        <w:spacing w:line="360" w:lineRule="auto"/>
        <w:rPr>
          <w:rFonts w:hint="eastAsia" w:ascii="Arial" w:hAnsi="Arial" w:eastAsia="黑体" w:cs="Arial"/>
          <w:color w:val="auto"/>
          <w:sz w:val="28"/>
          <w:szCs w:val="28"/>
          <w:highlight w:val="none"/>
        </w:rPr>
        <w:outlineLvl w:val="3"/>
      </w:pPr>
      <w:r/>
      <w:bookmarkStart w:id="84" w:name="_Toc513029212"/>
      <w:r/>
      <w:bookmarkStart w:id="85" w:name="_Toc462564071"/>
      <w:r/>
      <w:bookmarkStart w:id="86" w:name="_Toc20823284"/>
      <w:r/>
      <w:bookmarkStart w:id="87" w:name="_Toc16938528"/>
      <w:r>
        <w:rPr>
          <w:rFonts w:hint="eastAsia" w:ascii="Arial" w:hAnsi="Arial" w:eastAsia="黑体" w:cs="Arial"/>
          <w:color w:val="auto"/>
          <w:sz w:val="28"/>
          <w:szCs w:val="28"/>
          <w:highlight w:val="none"/>
        </w:rPr>
        <w:t xml:space="preserve">8、磋商文件的澄清和修改</w:t>
      </w:r>
      <w:bookmarkEnd w:id="84"/>
      <w:r/>
      <w:bookmarkEnd w:id="85"/>
      <w:r/>
      <w:bookmarkEnd w:id="86"/>
      <w:r/>
      <w:bookmarkEnd w:id="87"/>
      <w:r/>
      <w:r/>
    </w:p>
    <w:p>
      <w:pPr>
        <w:ind w:firstLine="480"/>
        <w:spacing w:line="360" w:lineRule="auto"/>
        <w:rPr>
          <w:rFonts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在响应文件提交截止时间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，采购人或代理机构可以对磋商文件进行澄清和修改,</w:t>
      </w:r>
      <w:r>
        <w:rPr>
          <w:rFonts w:hint="eastAsia" w:ascii="Times New Roman" w:hAnsi="Times New Roman"/>
          <w:color w:val="auto"/>
          <w:szCs w:val="21"/>
          <w:highlight w:val="none"/>
        </w:rPr>
        <w:t xml:space="preserve"> </w:t>
      </w:r>
      <w:r>
        <w:rPr>
          <w:rFonts w:hint="eastAsia" w:ascii="宋体" w:hAnsi="宋体"/>
          <w:color w:val="auto"/>
          <w:sz w:val="24"/>
          <w:szCs w:val="21"/>
          <w:highlight w:val="none"/>
        </w:rPr>
        <w:t xml:space="preserve">澄清或者修改的内容作为磋商文件的组成部分。澄清或者修改的内容可能影响响应文件编制的，采购人或代理机构将在提交首次响应文件截止时间至少5日前，在“江苏政府采购网”上发布书面更正公告形式通知所有获取磋商文件的供应商,</w:t>
      </w:r>
      <w:r>
        <w:rPr>
          <w:rFonts w:hint="eastAsia" w:ascii="Times New Roman" w:hAnsi="Times New Roman"/>
          <w:color w:val="auto"/>
          <w:szCs w:val="21"/>
          <w:highlight w:val="none"/>
        </w:rPr>
        <w:t xml:space="preserve"> </w:t>
      </w:r>
      <w:r>
        <w:rPr>
          <w:rFonts w:hint="eastAsia" w:ascii="宋体" w:hAnsi="宋体"/>
          <w:color w:val="auto"/>
          <w:sz w:val="24"/>
          <w:szCs w:val="21"/>
          <w:highlight w:val="none"/>
        </w:rPr>
        <w:t xml:space="preserve">更正公告内容将作为磋商文件的组成部分，并对供应商具有约束力。不足5日的，采购人或代理机构将顺延提交首次响应文件截止时间。</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8.3采购人或代理机构可以视采购项目的具体情况，组织供应商进行现场考察或召开磋商前答疑会，但不单独或分别组织只有一个供应商参加的现场考察和答疑会。</w:t>
      </w:r>
      <w:r/>
    </w:p>
    <w:p>
      <w:pPr>
        <w:ind w:firstLine="482"/>
        <w:keepLines/>
        <w:keepNext/>
        <w:spacing w:before="143" w:after="143" w:line="360" w:lineRule="auto"/>
        <w:rPr>
          <w:rFonts w:hint="eastAsia" w:ascii="Times New Roman" w:hAnsi="Times New Roman"/>
          <w:b/>
          <w:bCs/>
          <w:color w:val="auto"/>
          <w:sz w:val="32"/>
          <w:szCs w:val="32"/>
          <w:highlight w:val="none"/>
        </w:rPr>
        <w:outlineLvl w:val="2"/>
      </w:pPr>
      <w:r/>
      <w:bookmarkStart w:id="88" w:name="_Toc16938529"/>
      <w:r/>
      <w:bookmarkStart w:id="89" w:name="_Toc462564072"/>
      <w:r/>
      <w:bookmarkStart w:id="90" w:name="_Toc513029213"/>
      <w:r/>
      <w:bookmarkStart w:id="91" w:name="_Toc120614216"/>
      <w:r/>
      <w:bookmarkStart w:id="92" w:name="_Toc20823285"/>
      <w:r>
        <w:rPr>
          <w:rFonts w:hint="eastAsia" w:ascii="Times New Roman" w:hAnsi="Times New Roman"/>
          <w:b/>
          <w:bCs/>
          <w:color w:val="auto"/>
          <w:sz w:val="32"/>
          <w:szCs w:val="32"/>
          <w:highlight w:val="none"/>
        </w:rPr>
        <w:t xml:space="preserve">三、响应文件的编制</w:t>
      </w:r>
      <w:bookmarkEnd w:id="88"/>
      <w:r/>
      <w:bookmarkEnd w:id="89"/>
      <w:r/>
      <w:bookmarkEnd w:id="90"/>
      <w:r/>
      <w:bookmarkEnd w:id="91"/>
      <w:r/>
      <w:bookmarkEnd w:id="92"/>
      <w:r/>
      <w:r/>
    </w:p>
    <w:p>
      <w:pPr>
        <w:ind w:firstLine="560"/>
        <w:keepLines/>
        <w:keepNext/>
        <w:spacing w:line="360" w:lineRule="auto"/>
        <w:rPr>
          <w:rFonts w:hint="eastAsia" w:ascii="Arial" w:hAnsi="Arial" w:eastAsia="黑体" w:cs="Arial"/>
          <w:b/>
          <w:color w:val="auto"/>
          <w:sz w:val="28"/>
          <w:szCs w:val="28"/>
          <w:highlight w:val="none"/>
        </w:rPr>
        <w:outlineLvl w:val="3"/>
      </w:pPr>
      <w:r/>
      <w:bookmarkStart w:id="93" w:name="_Toc16938530"/>
      <w:r/>
      <w:bookmarkStart w:id="94" w:name="_Toc462564073"/>
      <w:r/>
      <w:bookmarkStart w:id="95" w:name="_Toc513029214"/>
      <w:r/>
      <w:bookmarkStart w:id="96" w:name="_Toc20823286"/>
      <w:r>
        <w:rPr>
          <w:rFonts w:hint="eastAsia" w:ascii="Arial" w:hAnsi="Arial" w:eastAsia="黑体" w:cs="Arial"/>
          <w:color w:val="auto"/>
          <w:sz w:val="28"/>
          <w:szCs w:val="28"/>
          <w:highlight w:val="none"/>
        </w:rPr>
        <w:t xml:space="preserve">9、响应文件的语言及度量衡单位</w:t>
      </w:r>
      <w:bookmarkEnd w:id="93"/>
      <w:r/>
      <w:bookmarkEnd w:id="94"/>
      <w:r/>
      <w:bookmarkEnd w:id="95"/>
      <w:r/>
      <w:bookmarkEnd w:id="96"/>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供应商提交的响应文件以及供应商与采购人就有关磋商的所有来往通知、函件和文件均应使用简体中文。</w:t>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420"/>
        <w:keepLines/>
        <w:keepNext/>
        <w:spacing w:line="360" w:lineRule="auto"/>
        <w:rPr>
          <w:rFonts w:hint="eastAsia" w:ascii="Arial" w:hAnsi="Arial" w:eastAsia="黑体" w:cs="Arial"/>
          <w:color w:val="auto"/>
          <w:sz w:val="28"/>
          <w:szCs w:val="28"/>
          <w:highlight w:val="none"/>
        </w:rPr>
        <w:outlineLvl w:val="3"/>
      </w:pPr>
      <w:r/>
      <w:bookmarkStart w:id="97" w:name="_Toc20823287"/>
      <w:r/>
      <w:bookmarkStart w:id="98" w:name="_Toc16938531"/>
      <w:r/>
      <w:bookmarkStart w:id="99" w:name="_Toc462564074"/>
      <w:r/>
      <w:bookmarkStart w:id="100" w:name="_Toc513029215"/>
      <w:r>
        <w:rPr>
          <w:rFonts w:hint="eastAsia" w:ascii="Arial" w:hAnsi="Arial" w:eastAsia="黑体" w:cs="Arial"/>
          <w:color w:val="auto"/>
          <w:sz w:val="28"/>
          <w:szCs w:val="28"/>
          <w:highlight w:val="none"/>
        </w:rPr>
        <w:t xml:space="preserve">10、响应文件构成</w:t>
      </w:r>
      <w:bookmarkEnd w:id="97"/>
      <w:r/>
      <w:bookmarkEnd w:id="98"/>
      <w:r/>
      <w:bookmarkEnd w:id="99"/>
      <w:r/>
      <w:bookmarkEnd w:id="100"/>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s="宋体"/>
          <w:color w:val="auto"/>
          <w:sz w:val="24"/>
          <w:szCs w:val="24"/>
          <w:highlight w:val="none"/>
          <w:lang w:val="zh-CN"/>
        </w:rPr>
        <w:t xml:space="preserve">供应商编写的响应文件应包括资格证明文件、符合性证明文件、已标价工程量清单、其他证明文件、磋商响应函等部分。</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如标书制作工具中格式和内容与“江苏政府采购网”发布的磋商文件不一致，请以“江苏政府采购网”发布的磋商文件为准。</w:t>
      </w:r>
      <w:r/>
    </w:p>
    <w:p>
      <w:pPr>
        <w:ind w:firstLine="420"/>
        <w:keepLines/>
        <w:keepNext/>
        <w:spacing w:line="360" w:lineRule="auto"/>
        <w:rPr>
          <w:rFonts w:hint="eastAsia" w:ascii="Arial" w:hAnsi="Arial" w:eastAsia="黑体" w:cs="Arial"/>
          <w:color w:val="auto"/>
          <w:sz w:val="28"/>
          <w:szCs w:val="28"/>
          <w:highlight w:val="none"/>
        </w:rPr>
        <w:outlineLvl w:val="3"/>
      </w:pPr>
      <w:r/>
      <w:bookmarkStart w:id="101" w:name="_Hlt26954838"/>
      <w:r/>
      <w:bookmarkEnd w:id="101"/>
      <w:r/>
      <w:bookmarkStart w:id="102" w:name="_Hlt26668975"/>
      <w:r/>
      <w:bookmarkEnd w:id="102"/>
      <w:r/>
      <w:bookmarkStart w:id="103" w:name="_Hlt26670360"/>
      <w:r/>
      <w:bookmarkEnd w:id="103"/>
      <w:r/>
      <w:bookmarkStart w:id="104" w:name="_Toc513029219"/>
      <w:r/>
      <w:bookmarkStart w:id="105" w:name="_Toc49090509"/>
      <w:r/>
      <w:bookmarkStart w:id="106" w:name="_Toc14577357"/>
      <w:r/>
      <w:bookmarkStart w:id="107" w:name="_Toc513029216"/>
      <w:r/>
      <w:bookmarkStart w:id="108" w:name="_Toc49090507"/>
      <w:r/>
      <w:bookmarkStart w:id="109" w:name="_Toc14577354"/>
      <w:r/>
      <w:bookmarkStart w:id="110" w:name="_Toc49090508"/>
      <w:r/>
      <w:bookmarkStart w:id="111" w:name="_Toc14577355"/>
      <w:r>
        <w:rPr>
          <w:rFonts w:hint="eastAsia" w:ascii="Arial" w:hAnsi="Arial" w:eastAsia="黑体" w:cs="Arial"/>
          <w:color w:val="auto"/>
          <w:sz w:val="28"/>
          <w:szCs w:val="28"/>
          <w:highlight w:val="none"/>
        </w:rPr>
        <w:t xml:space="preserve">11、证明磋商响应标的符合磋商文件规定的文件</w:t>
      </w:r>
      <w:bookmarkEnd w:id="104"/>
      <w:r/>
      <w:bookmarkEnd w:id="105"/>
      <w:r/>
      <w:bookmarkEnd w:id="106"/>
      <w:r/>
      <w:bookmarkEnd w:id="107"/>
      <w:r/>
      <w:bookmarkEnd w:id="108"/>
      <w:r/>
      <w:bookmarkEnd w:id="109"/>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110"/>
      <w:r/>
      <w:bookmarkEnd w:id="111"/>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12、分项报价表</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磋商货币。响应文件中的单价和总价无特殊规定的采用人民币报价，以元为单位标注。</w:t>
      </w:r>
      <w:r>
        <w:rPr>
          <w:rFonts w:hint="eastAsia" w:ascii="宋体" w:hAnsi="宋体"/>
          <w:color w:val="auto"/>
          <w:sz w:val="24"/>
          <w:szCs w:val="21"/>
          <w:highlight w:val="none"/>
        </w:rPr>
        <w:t xml:space="preserve">磋商文件中另有规定的按规定执行。</w:t>
      </w:r>
      <w:r/>
    </w:p>
    <w:p>
      <w:pPr>
        <w:ind w:firstLine="420"/>
        <w:keepLines/>
        <w:keepNext/>
        <w:spacing w:line="360" w:lineRule="auto"/>
        <w:rPr>
          <w:rFonts w:hint="eastAsia" w:ascii="Arial" w:hAnsi="Arial" w:eastAsia="黑体" w:cs="Arial"/>
          <w:color w:val="auto"/>
          <w:sz w:val="28"/>
          <w:szCs w:val="28"/>
          <w:highlight w:val="none"/>
        </w:rPr>
        <w:outlineLvl w:val="3"/>
      </w:pPr>
      <w:r/>
      <w:bookmarkStart w:id="112" w:name="_Hlt26670482"/>
      <w:r/>
      <w:bookmarkEnd w:id="112"/>
      <w:r/>
      <w:bookmarkStart w:id="113" w:name="_Hlt26954731"/>
      <w:r/>
      <w:bookmarkEnd w:id="113"/>
      <w:r/>
      <w:bookmarkStart w:id="114" w:name="_Hlt26954848"/>
      <w:r/>
      <w:bookmarkEnd w:id="114"/>
      <w:r/>
      <w:bookmarkStart w:id="115" w:name="_Hlt26954846"/>
      <w:r/>
      <w:bookmarkEnd w:id="115"/>
      <w:r/>
      <w:bookmarkStart w:id="116" w:name="_Hlt26670486"/>
      <w:r/>
      <w:bookmarkEnd w:id="116"/>
      <w:r>
        <w:rPr>
          <w:rFonts w:hint="eastAsia" w:ascii="Arial" w:hAnsi="Arial" w:eastAsia="黑体" w:cs="Arial"/>
          <w:color w:val="auto"/>
          <w:sz w:val="28"/>
          <w:szCs w:val="28"/>
          <w:highlight w:val="none"/>
        </w:rPr>
        <w:t xml:space="preserve">13、技术要求响应及偏离表、商务要求响应及偏离表</w:t>
      </w:r>
      <w:r/>
    </w:p>
    <w:p>
      <w:pPr>
        <w:ind w:firstLine="480"/>
        <w:spacing w:line="360" w:lineRule="auto"/>
        <w:rPr>
          <w:rFonts w:hint="eastAsia"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color w:val="auto"/>
          <w:sz w:val="24"/>
          <w:szCs w:val="21"/>
          <w:highlight w:val="none"/>
          <w:lang w:val="zh-CN"/>
        </w:rPr>
        <w:t xml:space="preserve">供应商需对磋商文件中的技术要求与商务要求逐项作出响应或偏离，并说明原因。</w:t>
      </w:r>
      <w:r/>
    </w:p>
    <w:p>
      <w:pPr>
        <w:ind w:firstLine="480"/>
        <w:spacing w:line="360" w:lineRule="auto"/>
        <w:rPr>
          <w:rFonts w:hint="eastAsia"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13.2供应商可在响应文件中提供认为需要的其他技术文件或说明。</w:t>
      </w:r>
      <w:r/>
    </w:p>
    <w:p>
      <w:pPr>
        <w:ind w:firstLine="361"/>
        <w:spacing w:line="360" w:lineRule="auto"/>
        <w:rPr>
          <w:rFonts w:ascii="Arial" w:hAnsi="Arial"/>
          <w:color w:val="auto"/>
          <w:sz w:val="22"/>
          <w:highlight w:val="none"/>
        </w:rPr>
        <w:pBdr>
          <w:top w:val="none" w:color="000000" w:sz="0" w:space="0"/>
          <w:left w:val="none" w:color="000000" w:sz="0" w:space="0"/>
          <w:bottom w:val="none" w:color="000000" w:sz="0" w:space="0"/>
          <w:right w:val="none" w:color="000000" w:sz="0" w:space="0"/>
        </w:pBdr>
      </w:pPr>
      <w:r>
        <w:rPr>
          <w:rFonts w:hint="eastAsia" w:ascii="Arial" w:hAnsi="Arial" w:eastAsia="黑体" w:cs="Arial"/>
          <w:color w:val="auto"/>
          <w:sz w:val="28"/>
          <w:szCs w:val="28"/>
          <w:highlight w:val="none"/>
        </w:rPr>
        <w:t xml:space="preserve">14、</w:t>
      </w:r>
      <w:r>
        <w:rPr>
          <w:rFonts w:ascii="宋体" w:hAnsi="宋体" w:cs="宋体"/>
          <w:b/>
          <w:color w:val="auto"/>
          <w:sz w:val="24"/>
          <w:highlight w:val="none"/>
        </w:rPr>
        <w:t xml:space="preserve">服务承诺、培训计划、人员安排及其他</w:t>
      </w:r>
      <w:r/>
    </w:p>
    <w:p>
      <w:pPr>
        <w:ind w:firstLine="480"/>
        <w:spacing w:line="360" w:lineRule="auto"/>
        <w:rPr>
          <w:rFonts w:ascii="宋体" w:hAnsi="宋体"/>
          <w:bCs/>
          <w:color w:val="auto"/>
          <w:sz w:val="24"/>
          <w:szCs w:val="21"/>
          <w:highlight w:val="none"/>
        </w:rPr>
      </w:pPr>
      <w:r>
        <w:rPr>
          <w:rFonts w:ascii="宋体" w:hAnsi="宋体"/>
          <w:bCs/>
          <w:color w:val="auto"/>
          <w:sz w:val="24"/>
          <w:szCs w:val="21"/>
          <w:highlight w:val="none"/>
        </w:rPr>
        <w:t xml:space="preserve">14.1供应商需根据磋商文件要求提供有关售后服务的管理制度，售后服务机构的分布情况，售后服务人员的数量、素质、技术水平及售后服务的反应能力等。</w:t>
      </w:r>
      <w:r/>
    </w:p>
    <w:p>
      <w:pPr>
        <w:ind w:firstLine="480"/>
        <w:spacing w:line="360" w:lineRule="auto"/>
        <w:rPr>
          <w:rFonts w:ascii="宋体" w:hAnsi="宋体"/>
          <w:bCs/>
          <w:color w:val="auto"/>
          <w:sz w:val="24"/>
          <w:szCs w:val="21"/>
          <w:highlight w:val="none"/>
        </w:rPr>
      </w:pPr>
      <w:r>
        <w:rPr>
          <w:rFonts w:ascii="宋体" w:hAnsi="宋体"/>
          <w:bCs/>
          <w:color w:val="auto"/>
          <w:sz w:val="24"/>
          <w:szCs w:val="21"/>
          <w:highlight w:val="none"/>
        </w:rPr>
        <w:t xml:space="preserve">14.2供应商需根据磋商文件要求提供培训计划。</w:t>
      </w:r>
      <w:r/>
    </w:p>
    <w:p>
      <w:pPr>
        <w:ind w:firstLine="480"/>
        <w:spacing w:line="360" w:lineRule="auto"/>
        <w:rPr>
          <w:rFonts w:hint="eastAsia" w:ascii="宋体" w:hAnsi="宋体"/>
          <w:bCs/>
          <w:color w:val="auto"/>
          <w:sz w:val="24"/>
          <w:szCs w:val="21"/>
          <w:highlight w:val="none"/>
        </w:rPr>
      </w:pPr>
      <w:r>
        <w:rPr>
          <w:rFonts w:ascii="宋体" w:hAnsi="宋体"/>
          <w:bCs/>
          <w:color w:val="auto"/>
          <w:sz w:val="24"/>
          <w:szCs w:val="21"/>
          <w:highlight w:val="none"/>
        </w:rPr>
        <w:t xml:space="preserve">14.3供应商需根据磋商文件要求提供磋商响应标的的主要组成部分、功能设计、实现思路及关键技术等。</w:t>
      </w:r>
      <w:r/>
    </w:p>
    <w:p>
      <w:pPr>
        <w:ind w:firstLine="420"/>
        <w:keepLines/>
        <w:keepNext/>
        <w:spacing w:line="360" w:lineRule="auto"/>
        <w:rPr>
          <w:rFonts w:hint="eastAsia" w:ascii="Arial" w:hAnsi="Arial" w:eastAsia="黑体" w:cs="Arial"/>
          <w:color w:val="auto"/>
          <w:sz w:val="28"/>
          <w:szCs w:val="28"/>
          <w:highlight w:val="none"/>
        </w:rPr>
        <w:outlineLvl w:val="3"/>
      </w:pPr>
      <w:r/>
      <w:bookmarkStart w:id="117" w:name="_Toc14577359"/>
      <w:r/>
      <w:bookmarkStart w:id="118" w:name="_Toc49090510"/>
      <w:r>
        <w:rPr>
          <w:rFonts w:hint="eastAsia" w:ascii="Arial" w:hAnsi="Arial" w:eastAsia="黑体" w:cs="Arial"/>
          <w:color w:val="auto"/>
          <w:sz w:val="28"/>
          <w:szCs w:val="28"/>
          <w:highlight w:val="none"/>
        </w:rPr>
        <w:t xml:space="preserve">15、磋商响应函</w:t>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117"/>
      <w:r/>
      <w:bookmarkEnd w:id="118"/>
      <w:r/>
      <w:r/>
    </w:p>
    <w:p>
      <w:pPr>
        <w:ind w:firstLine="420"/>
        <w:keepLines/>
        <w:keepNext/>
        <w:spacing w:line="360" w:lineRule="auto"/>
        <w:rPr>
          <w:rFonts w:hint="eastAsia" w:ascii="Arial" w:hAnsi="Arial" w:eastAsia="黑体" w:cs="Arial"/>
          <w:color w:val="auto"/>
          <w:sz w:val="28"/>
          <w:szCs w:val="28"/>
          <w:highlight w:val="none"/>
        </w:rPr>
        <w:outlineLvl w:val="3"/>
      </w:pPr>
      <w:r/>
      <w:bookmarkStart w:id="119" w:name="_Toc14577360"/>
      <w:r/>
      <w:bookmarkStart w:id="120" w:name="_Toc49090511"/>
      <w:r>
        <w:rPr>
          <w:rFonts w:hint="eastAsia" w:ascii="Arial" w:hAnsi="Arial" w:eastAsia="黑体" w:cs="Arial"/>
          <w:color w:val="auto"/>
          <w:sz w:val="28"/>
          <w:szCs w:val="28"/>
          <w:highlight w:val="none"/>
        </w:rPr>
        <w:t xml:space="preserve">16、磋商有效期</w:t>
      </w:r>
      <w:bookmarkEnd w:id="119"/>
      <w:r/>
      <w:bookmarkEnd w:id="120"/>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16.1磋商有效期为采购人规定的提交响应文件截止之日后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、磋商有效期的延长</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采购人或代理机构于原磋商有效期满之前，可向供应商提出延长磋商有效期的要求。这种要求与答复均应采用书面形式。供应商可以拒绝采购人或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ind w:firstLine="482"/>
        <w:keepLines/>
        <w:keepNext/>
        <w:spacing w:before="143" w:after="143" w:line="360" w:lineRule="auto"/>
        <w:rPr>
          <w:rFonts w:hint="eastAsia" w:ascii="Times New Roman" w:hAnsi="Times New Roman"/>
          <w:b/>
          <w:bCs/>
          <w:color w:val="auto"/>
          <w:sz w:val="32"/>
          <w:szCs w:val="32"/>
          <w:highlight w:val="none"/>
        </w:rPr>
        <w:outlineLvl w:val="2"/>
      </w:pPr>
      <w:r/>
      <w:bookmarkStart w:id="121" w:name="_Hlt26954739"/>
      <w:r/>
      <w:bookmarkEnd w:id="121"/>
      <w:r/>
      <w:bookmarkStart w:id="122" w:name="_Hlt26954852"/>
      <w:r/>
      <w:bookmarkEnd w:id="122"/>
      <w:r/>
      <w:bookmarkStart w:id="123" w:name="_Toc513029224"/>
      <w:r/>
      <w:bookmarkStart w:id="124" w:name="_Toc20823296"/>
      <w:r/>
      <w:bookmarkStart w:id="125" w:name="_Toc16938540"/>
      <w:r/>
      <w:bookmarkStart w:id="126" w:name="_Toc120614217"/>
      <w:r>
        <w:rPr>
          <w:rFonts w:hint="eastAsia" w:ascii="Times New Roman" w:hAnsi="Times New Roman"/>
          <w:b/>
          <w:bCs/>
          <w:color w:val="auto"/>
          <w:sz w:val="32"/>
          <w:szCs w:val="32"/>
          <w:highlight w:val="none"/>
        </w:rPr>
        <w:t xml:space="preserve">四、响应文件的递交</w:t>
      </w:r>
      <w:bookmarkEnd w:id="123"/>
      <w:r/>
      <w:bookmarkEnd w:id="124"/>
      <w:r/>
      <w:bookmarkEnd w:id="125"/>
      <w:r/>
      <w:bookmarkEnd w:id="126"/>
      <w:r/>
      <w:r/>
    </w:p>
    <w:p>
      <w:pPr>
        <w:ind w:firstLine="420"/>
        <w:keepLines/>
        <w:keepNext/>
        <w:spacing w:line="360" w:lineRule="auto"/>
        <w:rPr>
          <w:rFonts w:hint="eastAsia" w:ascii="Arial" w:hAnsi="Arial" w:eastAsia="黑体" w:cs="Arial"/>
          <w:color w:val="auto"/>
          <w:sz w:val="28"/>
          <w:szCs w:val="28"/>
          <w:highlight w:val="none"/>
        </w:rPr>
        <w:outlineLvl w:val="3"/>
      </w:pPr>
      <w:r/>
      <w:bookmarkStart w:id="127" w:name="_Toc513029225"/>
      <w:r/>
      <w:bookmarkStart w:id="128" w:name="_Toc20823297"/>
      <w:r/>
      <w:bookmarkStart w:id="129" w:name="_Toc16938541"/>
      <w:r/>
      <w:bookmarkStart w:id="130" w:name="_Toc462564084"/>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、电子磋商</w:t>
      </w:r>
      <w:bookmarkEnd w:id="127"/>
      <w:r/>
      <w:bookmarkEnd w:id="128"/>
      <w:r/>
      <w:bookmarkEnd w:id="129"/>
      <w:r/>
      <w:bookmarkEnd w:id="130"/>
      <w:r>
        <w:rPr>
          <w:rFonts w:hint="eastAsia" w:ascii="Arial" w:hAnsi="Arial" w:eastAsia="黑体" w:cs="Arial"/>
          <w:color w:val="auto"/>
          <w:sz w:val="28"/>
          <w:szCs w:val="28"/>
          <w:highlight w:val="none"/>
        </w:rPr>
        <w:t xml:space="preserve">响应文件的递交</w:t>
      </w:r>
      <w:r/>
    </w:p>
    <w:p>
      <w:pPr>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131" w:name="_Toc513029226"/>
      <w:r/>
      <w:bookmarkStart w:id="132" w:name="_Toc20823298"/>
      <w:r/>
      <w:bookmarkStart w:id="133" w:name="_Toc16938542"/>
      <w:r/>
      <w:r/>
    </w:p>
    <w:p>
      <w:pPr>
        <w:ind w:firstLine="420"/>
        <w:keepLines/>
        <w:keepNext/>
        <w:spacing w:line="360" w:lineRule="auto"/>
        <w:rPr>
          <w:rFonts w:hint="eastAsia"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19</w:t>
      </w:r>
      <w:r>
        <w:rPr>
          <w:rFonts w:hint="eastAsia" w:ascii="Arial" w:hAnsi="Arial" w:eastAsia="黑体" w:cs="Arial"/>
          <w:color w:val="auto"/>
          <w:sz w:val="28"/>
          <w:szCs w:val="28"/>
          <w:highlight w:val="none"/>
        </w:rPr>
        <w:t xml:space="preserve">、提交响应文件截止时间</w:t>
      </w:r>
      <w:bookmarkEnd w:id="131"/>
      <w:r/>
      <w:bookmarkEnd w:id="132"/>
      <w:r/>
      <w:bookmarkEnd w:id="133"/>
      <w:r/>
      <w:r/>
    </w:p>
    <w:p>
      <w:pPr>
        <w:ind w:firstLine="480"/>
        <w:spacing w:line="360" w:lineRule="auto"/>
        <w:rPr>
          <w:rFonts w:hint="eastAsia" w:ascii="宋体" w:hAnsi="宋体"/>
          <w:bCs/>
          <w:color w:val="auto"/>
          <w:sz w:val="24"/>
          <w:szCs w:val="21"/>
          <w:highlight w:val="none"/>
        </w:rPr>
      </w:pPr>
      <w:r>
        <w:rPr>
          <w:rFonts w:ascii="宋体" w:hAnsi="宋体"/>
          <w:bCs/>
          <w:color w:val="auto"/>
          <w:sz w:val="24"/>
          <w:szCs w:val="21"/>
          <w:highlight w:val="none"/>
        </w:rPr>
        <w:t xml:space="preserve">19</w:t>
      </w:r>
      <w:r>
        <w:rPr>
          <w:rFonts w:hint="eastAsia" w:ascii="宋体" w:hAnsi="宋体"/>
          <w:bCs/>
          <w:color w:val="auto"/>
          <w:sz w:val="24"/>
          <w:szCs w:val="21"/>
          <w:highlight w:val="none"/>
        </w:rPr>
        <w:t xml:space="preserve">.1供应商上传电子响应文件的时间不得迟于磋商公告中规定的提交响应文件截止时间。</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360" w:lineRule="auto"/>
        <w:rPr>
          <w:rFonts w:hint="eastAsia" w:ascii="宋体" w:hAnsi="宋体"/>
          <w:bCs/>
          <w:color w:val="auto"/>
          <w:sz w:val="24"/>
          <w:szCs w:val="21"/>
          <w:highlight w:val="none"/>
        </w:rPr>
      </w:pPr>
      <w:r>
        <w:rPr>
          <w:rFonts w:ascii="宋体" w:hAnsi="宋体"/>
          <w:bCs/>
          <w:color w:val="auto"/>
          <w:sz w:val="24"/>
          <w:szCs w:val="21"/>
          <w:highlight w:val="none"/>
        </w:rPr>
        <w:t xml:space="preserve">19</w:t>
      </w:r>
      <w:r>
        <w:rPr>
          <w:rFonts w:hint="eastAsia" w:ascii="宋体" w:hAnsi="宋体"/>
          <w:bCs/>
          <w:color w:val="auto"/>
          <w:sz w:val="24"/>
          <w:szCs w:val="21"/>
          <w:highlight w:val="none"/>
        </w:rPr>
        <w:t xml:space="preserve">.2 采购人或代理机构可以按照规定，通过修改磋商文件酌情延长提交响应文件截止日期，在此情况下，供应商的所有权利和义务以及供应商受制的截止日期均应以延长后新的截止日期为准。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hint="eastAsia" w:ascii="Arial" w:hAnsi="Arial" w:eastAsia="黑体" w:cs="Arial"/>
          <w:color w:val="auto"/>
          <w:sz w:val="28"/>
          <w:szCs w:val="28"/>
          <w:highlight w:val="none"/>
        </w:rPr>
        <w:outlineLvl w:val="3"/>
      </w:pPr>
      <w:r/>
      <w:bookmarkStart w:id="134" w:name="_Toc16938543"/>
      <w:r/>
      <w:bookmarkStart w:id="135" w:name="_Toc20823299"/>
      <w:r/>
      <w:bookmarkStart w:id="136" w:name="_Toc513029227"/>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、响应文件</w:t>
      </w:r>
      <w:bookmarkEnd w:id="134"/>
      <w:r/>
      <w:bookmarkEnd w:id="135"/>
      <w:r/>
      <w:bookmarkEnd w:id="136"/>
      <w:r>
        <w:rPr>
          <w:rFonts w:hint="eastAsia" w:ascii="Arial" w:hAnsi="Arial" w:eastAsia="黑体" w:cs="Arial"/>
          <w:color w:val="auto"/>
          <w:sz w:val="28"/>
          <w:szCs w:val="28"/>
          <w:highlight w:val="none"/>
        </w:rPr>
        <w:t xml:space="preserve">的拒收</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20.1 采购人或代理机构拒绝接收在其规定的提交响应文件截止时间后上传的任何电子响应文件。</w:t>
      </w:r>
      <w:r/>
    </w:p>
    <w:p>
      <w:pPr>
        <w:ind w:firstLine="420"/>
        <w:keepLines/>
        <w:keepNext/>
        <w:spacing w:line="360" w:lineRule="auto"/>
        <w:rPr>
          <w:rFonts w:hint="eastAsia" w:ascii="Arial" w:hAnsi="Arial" w:eastAsia="黑体" w:cs="Arial"/>
          <w:color w:val="auto"/>
          <w:sz w:val="28"/>
          <w:szCs w:val="28"/>
          <w:highlight w:val="none"/>
        </w:rPr>
        <w:outlineLvl w:val="3"/>
      </w:pPr>
      <w:r/>
      <w:bookmarkStart w:id="137" w:name="_Toc16938544"/>
      <w:r/>
      <w:bookmarkStart w:id="138" w:name="_Toc20823300"/>
      <w:r/>
      <w:bookmarkStart w:id="139" w:name="_Toc51302922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、响应文件的撤回和修改</w:t>
      </w:r>
      <w:bookmarkEnd w:id="137"/>
      <w:r/>
      <w:bookmarkEnd w:id="138"/>
      <w:r/>
      <w:bookmarkEnd w:id="139"/>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供应商撤回电子响应文件，则认为其不再参与本项目磋商活动。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 响应文件的修改</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ind w:firstLine="482"/>
        <w:keepLines/>
        <w:keepNext/>
        <w:spacing w:before="143" w:after="143" w:line="360" w:lineRule="auto"/>
        <w:rPr>
          <w:rFonts w:hint="eastAsia" w:ascii="Times New Roman" w:hAnsi="Times New Roman"/>
          <w:b/>
          <w:bCs/>
          <w:color w:val="auto"/>
          <w:sz w:val="32"/>
          <w:szCs w:val="32"/>
          <w:highlight w:val="none"/>
        </w:rPr>
        <w:outlineLvl w:val="2"/>
      </w:pPr>
      <w:r/>
      <w:bookmarkStart w:id="140" w:name="_Toc513029229"/>
      <w:r/>
      <w:bookmarkStart w:id="141" w:name="_Toc120614218"/>
      <w:r/>
      <w:bookmarkStart w:id="142" w:name="_Toc16938545"/>
      <w:r/>
      <w:bookmarkStart w:id="143" w:name="_Toc20823301"/>
      <w:r>
        <w:rPr>
          <w:rFonts w:hint="eastAsia" w:ascii="Times New Roman" w:hAnsi="Times New Roman"/>
          <w:b/>
          <w:bCs/>
          <w:color w:val="auto"/>
          <w:sz w:val="32"/>
          <w:szCs w:val="32"/>
          <w:highlight w:val="none"/>
        </w:rPr>
        <w:t xml:space="preserve">五、响应文件的解密与评审</w:t>
      </w:r>
      <w:bookmarkEnd w:id="140"/>
      <w:r/>
      <w:bookmarkEnd w:id="141"/>
      <w:r/>
      <w:bookmarkEnd w:id="142"/>
      <w:r/>
      <w:bookmarkEnd w:id="143"/>
      <w:r/>
      <w:r/>
    </w:p>
    <w:p>
      <w:pPr>
        <w:ind w:firstLine="420"/>
        <w:keepLines/>
        <w:keepNext/>
        <w:spacing w:line="360" w:lineRule="auto"/>
        <w:rPr>
          <w:rFonts w:hint="eastAsia" w:ascii="Arial" w:hAnsi="Arial" w:eastAsia="黑体" w:cs="Arial"/>
          <w:color w:val="auto"/>
          <w:sz w:val="28"/>
          <w:szCs w:val="28"/>
          <w:highlight w:val="none"/>
        </w:rPr>
        <w:outlineLvl w:val="3"/>
      </w:pPr>
      <w:r/>
      <w:bookmarkStart w:id="144" w:name="_Toc513029230"/>
      <w:r/>
      <w:bookmarkStart w:id="145" w:name="_Toc16938546"/>
      <w:r/>
      <w:bookmarkStart w:id="146" w:name="_Toc20823302"/>
      <w:r>
        <w:rPr>
          <w:rFonts w:hint="eastAsia" w:ascii="Arial" w:hAnsi="Arial" w:eastAsia="黑体" w:cs="Arial"/>
          <w:color w:val="auto"/>
          <w:sz w:val="28"/>
          <w:szCs w:val="28"/>
          <w:highlight w:val="none"/>
        </w:rPr>
        <w:t xml:space="preserve">22、</w:t>
      </w:r>
      <w:bookmarkEnd w:id="144"/>
      <w:r/>
      <w:bookmarkEnd w:id="145"/>
      <w:r/>
      <w:bookmarkEnd w:id="146"/>
      <w:r>
        <w:rPr>
          <w:rFonts w:hint="eastAsia" w:ascii="Arial" w:hAnsi="Arial" w:eastAsia="黑体" w:cs="Arial"/>
          <w:color w:val="auto"/>
          <w:sz w:val="28"/>
          <w:szCs w:val="28"/>
          <w:highlight w:val="none"/>
        </w:rPr>
        <w:t xml:space="preserve">响应文件解密</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.1供应商应当按照《操作手册》规定，在苏采云系统规定的时间内对磋商响应文件进行解密。</w:t>
      </w:r>
      <w:r/>
    </w:p>
    <w:p>
      <w:pPr>
        <w:ind w:firstLine="420"/>
        <w:keepLines/>
        <w:keepNext/>
        <w:spacing w:line="360" w:lineRule="auto"/>
        <w:rPr>
          <w:rFonts w:hint="eastAsia" w:ascii="Arial" w:hAnsi="Arial" w:eastAsia="黑体" w:cs="Arial"/>
          <w:color w:val="auto"/>
          <w:sz w:val="28"/>
          <w:szCs w:val="28"/>
          <w:highlight w:val="none"/>
        </w:rPr>
        <w:outlineLvl w:val="3"/>
      </w:pPr>
      <w:r/>
      <w:bookmarkStart w:id="147" w:name="_Toc20823303"/>
      <w:r/>
      <w:bookmarkStart w:id="148" w:name="_Toc16938547"/>
      <w:r/>
      <w:bookmarkStart w:id="149" w:name="_Toc513029231"/>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、磋商小组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.1采购人将组织磋商小组对响应文件进行评审。磋商小组由采购人代表和有关技术、经济等方面的专家组成，且人员构成符合政府采购有关规定。</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.2磋商小组独立工作，负责评审所有响应文件并确定成交侯选人。</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4</w:t>
      </w:r>
      <w:r>
        <w:rPr>
          <w:rFonts w:hint="eastAsia" w:ascii="Arial" w:hAnsi="Arial" w:eastAsia="黑体" w:cs="Arial"/>
          <w:color w:val="auto"/>
          <w:sz w:val="28"/>
          <w:szCs w:val="28"/>
          <w:highlight w:val="none"/>
        </w:rPr>
        <w:t xml:space="preserve">、评审过程的保密与公正</w:t>
      </w:r>
      <w:bookmarkEnd w:id="147"/>
      <w:r/>
      <w:bookmarkEnd w:id="148"/>
      <w:r/>
      <w:bookmarkEnd w:id="149"/>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在评审过程中，供应商不得以任何行为影响磋商评审过程，否则其响应文件将被作为无效响应文件。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.3</w:t>
      </w:r>
      <w:r>
        <w:rPr>
          <w:rFonts w:hint="eastAsia" w:ascii="宋体" w:hAnsi="宋体"/>
          <w:color w:val="auto"/>
          <w:sz w:val="24"/>
          <w:szCs w:val="24"/>
          <w:highlight w:val="none"/>
        </w:rPr>
        <w:t xml:space="preserve">在项目评审期间，代理机构将设专门人员与供应商联系。</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.4代理机构和磋商小组不向未成交的供应商解释未成交原因，也不公布评审过程中的相关细节。</w:t>
      </w:r>
      <w:r/>
    </w:p>
    <w:p>
      <w:pPr>
        <w:ind w:firstLine="420"/>
        <w:keepLines/>
        <w:keepNext/>
        <w:spacing w:line="360" w:lineRule="auto"/>
        <w:rPr>
          <w:rFonts w:hint="eastAsia" w:ascii="Arial" w:hAnsi="Arial" w:eastAsia="黑体" w:cs="Arial"/>
          <w:color w:val="auto"/>
          <w:sz w:val="28"/>
          <w:szCs w:val="28"/>
          <w:highlight w:val="none"/>
        </w:rPr>
        <w:outlineLvl w:val="3"/>
      </w:pPr>
      <w:r/>
      <w:bookmarkStart w:id="150" w:name="_Toc513029232"/>
      <w:r/>
      <w:bookmarkStart w:id="151" w:name="_Toc20823304"/>
      <w:r/>
      <w:bookmarkStart w:id="152" w:name="_Toc1693854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、评审过程中的的澄清</w:t>
      </w:r>
      <w:bookmarkEnd w:id="150"/>
      <w:r/>
      <w:bookmarkEnd w:id="151"/>
      <w:r/>
      <w:bookmarkEnd w:id="152"/>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磋商小组并非对每个供应商都作澄清要求。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.2需要供应商进行澄清、说明和更正的，磋商小组将通过</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向供应商发布“澄清要求函”，接到“澄清要求函”的供应商应当按照要求在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中提交“澄清响应函”并加盖CA电子公章。澄清、说明和更正的内容作为响应文件的补充部分，具体</w:t>
      </w:r>
      <w:r>
        <w:rPr>
          <w:rFonts w:ascii="宋体" w:hAnsi="宋体" w:cs="宋体"/>
          <w:color w:val="auto"/>
          <w:sz w:val="24"/>
          <w:szCs w:val="24"/>
          <w:highlight w:val="none"/>
        </w:rPr>
        <w:t xml:space="preserve">操作</w:t>
      </w:r>
      <w:r>
        <w:rPr>
          <w:rFonts w:hint="eastAsia" w:ascii="宋体" w:hAnsi="宋体" w:cs="宋体"/>
          <w:color w:val="auto"/>
          <w:sz w:val="24"/>
          <w:szCs w:val="24"/>
          <w:highlight w:val="none"/>
        </w:rPr>
        <w:t xml:space="preserve">方式</w:t>
      </w:r>
      <w:r>
        <w:rPr>
          <w:rFonts w:ascii="宋体" w:hAnsi="宋体" w:cs="宋体"/>
          <w:color w:val="auto"/>
          <w:sz w:val="24"/>
          <w:szCs w:val="24"/>
          <w:highlight w:val="none"/>
        </w:rPr>
        <w:t xml:space="preserve">见</w:t>
      </w:r>
      <w:r>
        <w:rPr>
          <w:rFonts w:hint="eastAsia" w:ascii="宋体" w:hAnsi="宋体" w:cs="宋体"/>
          <w:color w:val="auto"/>
          <w:sz w:val="24"/>
          <w:szCs w:val="24"/>
          <w:highlight w:val="none"/>
        </w:rPr>
        <w:t xml:space="preserve">《操作手册》。</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接到磋商小组澄清、说明和更正要求的供应商如未按规定做出澄清、说明和更正，其风险由供应商自行承担。</w:t>
      </w:r>
      <w:r/>
    </w:p>
    <w:p>
      <w:pPr>
        <w:ind w:firstLine="420"/>
        <w:keepLines/>
        <w:keepNext/>
        <w:spacing w:line="360" w:lineRule="auto"/>
        <w:rPr>
          <w:rFonts w:hint="eastAsia" w:ascii="Arial" w:hAnsi="Arial" w:eastAsia="黑体" w:cs="Arial"/>
          <w:color w:val="auto"/>
          <w:sz w:val="28"/>
          <w:szCs w:val="28"/>
          <w:highlight w:val="none"/>
        </w:rPr>
        <w:outlineLvl w:val="3"/>
      </w:pPr>
      <w:r/>
      <w:bookmarkStart w:id="153" w:name="_Toc16938549"/>
      <w:r/>
      <w:bookmarkStart w:id="154" w:name="_Toc513029233"/>
      <w:r/>
      <w:bookmarkStart w:id="155" w:name="_Toc20823305"/>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、对响应文件的审</w:t>
      </w:r>
      <w:bookmarkEnd w:id="153"/>
      <w:r/>
      <w:bookmarkEnd w:id="154"/>
      <w:r/>
      <w:bookmarkEnd w:id="155"/>
      <w:r>
        <w:rPr>
          <w:rFonts w:hint="eastAsia" w:ascii="Arial" w:hAnsi="Arial" w:eastAsia="黑体" w:cs="Arial"/>
          <w:color w:val="auto"/>
          <w:sz w:val="28"/>
          <w:szCs w:val="28"/>
          <w:highlight w:val="none"/>
        </w:rPr>
        <w:t xml:space="preserve">查</w:t>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未通过资格审查或符合性审查的供应商，磋商小组将在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26.3未实质性响应磋商文件的情形</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26.3.1供应商在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26.3.2供应商未按照磋商文件要求上传电子响应文件的。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26.3.3同一供应商提交两个（含两个）以上不同的响应文件或者最后报价的。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26.3.4供应商不具备磋商文件中规定资格要求的。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26.3.5供应商的最后报价超过了采购预算。</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26.3.6不符合磋商文件中规定的实质性要求和条件的。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26.3.8响应文件含有采购人不能接受的附加条件的。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26.3.10响应文件未按照磋商文件要求加盖CA电子公章的。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26.4未实质性响应磋商文件的响应文件按无效响应处理。</w:t>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360" w:lineRule="auto"/>
        <w:rPr>
          <w:rFonts w:hint="eastAsia" w:ascii="宋体" w:hAnsi="宋体"/>
          <w:color w:val="auto"/>
          <w:sz w:val="24"/>
          <w:szCs w:val="21"/>
          <w:highlight w:val="none"/>
        </w:rPr>
      </w:pPr>
      <w:r/>
      <w:bookmarkStart w:id="156" w:name="_Toc16938550"/>
      <w:r/>
      <w:bookmarkStart w:id="157" w:name="_Toc513029234"/>
      <w:r/>
      <w:bookmarkStart w:id="158"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.6供应商在项目评审全过程中应保持通讯畅通，并安排专人与代理机构及磋商小组联系。</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w:t>
      </w:r>
      <w:bookmarkEnd w:id="156"/>
      <w:r/>
      <w:bookmarkEnd w:id="157"/>
      <w:r/>
      <w:bookmarkEnd w:id="158"/>
      <w:r>
        <w:rPr>
          <w:rFonts w:hint="eastAsia" w:ascii="Arial" w:hAnsi="Arial" w:eastAsia="黑体" w:cs="Arial"/>
          <w:color w:val="auto"/>
          <w:sz w:val="28"/>
          <w:szCs w:val="28"/>
          <w:highlight w:val="none"/>
        </w:rPr>
        <w:t xml:space="preserve">磋商程序及评审方法和评审标准</w:t>
      </w:r>
      <w:r/>
    </w:p>
    <w:p>
      <w:pPr>
        <w:ind w:firstLine="478"/>
        <w:spacing w:after="143"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27.1磋商程序</w:t>
      </w:r>
      <w:r/>
    </w:p>
    <w:p>
      <w:pPr>
        <w:ind w:firstLine="478"/>
        <w:spacing w:after="143"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after="143"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after="143"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27.1.2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8"/>
        <w:spacing w:after="143"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43"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3"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8"/>
        <w:spacing w:after="143"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 评审方法和评审标准</w:t>
      </w:r>
      <w:r/>
    </w:p>
    <w:p>
      <w:pPr>
        <w:ind w:firstLine="478"/>
        <w:spacing w:after="143"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8"/>
        <w:spacing w:after="143"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after="143"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27.2.2评审标准</w:t>
      </w:r>
      <w:r/>
    </w:p>
    <w:p>
      <w:pPr>
        <w:ind w:firstLine="478"/>
        <w:spacing w:after="143"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见本磋商文件第五章规定。</w:t>
      </w:r>
      <w:r/>
    </w:p>
    <w:p>
      <w:pPr>
        <w:ind w:firstLine="478"/>
        <w:spacing w:after="143"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27.3采购活动终止的情况</w:t>
      </w:r>
      <w:r/>
    </w:p>
    <w:p>
      <w:pPr>
        <w:ind w:firstLine="360"/>
        <w:spacing w:after="143"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出现下列情形之一的，本次竞争性磋商采购活动将被终止：</w:t>
      </w:r>
      <w:r/>
    </w:p>
    <w:p>
      <w:pPr>
        <w:ind w:firstLine="360"/>
        <w:spacing w:after="143"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27.3.1因情况变化，不再符合规定的竞争性磋商采购方式适用情形的。</w:t>
      </w:r>
      <w:r/>
    </w:p>
    <w:p>
      <w:pPr>
        <w:ind w:firstLine="360"/>
        <w:spacing w:after="143"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27.3.2出现影响采购公正的违法、违规行为的。</w:t>
      </w:r>
      <w:r/>
    </w:p>
    <w:p>
      <w:pPr>
        <w:ind w:firstLine="360"/>
        <w:spacing w:after="143"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after="143"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27.3.4在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规定时间内成功解密电子响应文件的供应商不足3家的。</w:t>
      </w:r>
      <w:r/>
    </w:p>
    <w:p>
      <w:pPr>
        <w:ind w:firstLine="482"/>
        <w:keepLines/>
        <w:keepNext/>
        <w:spacing w:before="143" w:after="143" w:line="360" w:lineRule="auto"/>
        <w:rPr>
          <w:rFonts w:hint="eastAsia" w:ascii="Times New Roman" w:hAnsi="Times New Roman"/>
          <w:b/>
          <w:bCs/>
          <w:color w:val="auto"/>
          <w:sz w:val="32"/>
          <w:szCs w:val="32"/>
          <w:highlight w:val="none"/>
        </w:rPr>
        <w:outlineLvl w:val="2"/>
      </w:pPr>
      <w:r/>
      <w:bookmarkStart w:id="159" w:name="_Toc513029235"/>
      <w:r/>
      <w:bookmarkStart w:id="160" w:name="_Toc120614219"/>
      <w:r/>
      <w:bookmarkStart w:id="161" w:name="_Toc20823307"/>
      <w:r/>
      <w:bookmarkStart w:id="162" w:name="_Toc16938551"/>
      <w:r>
        <w:rPr>
          <w:rFonts w:hint="eastAsia" w:ascii="Times New Roman" w:hAnsi="Times New Roman"/>
          <w:b/>
          <w:bCs/>
          <w:color w:val="auto"/>
          <w:sz w:val="32"/>
          <w:szCs w:val="32"/>
          <w:highlight w:val="none"/>
        </w:rPr>
        <w:t xml:space="preserve">六、</w:t>
      </w:r>
      <w:bookmarkEnd w:id="159"/>
      <w:r/>
      <w:bookmarkEnd w:id="160"/>
      <w:r/>
      <w:bookmarkEnd w:id="161"/>
      <w:r/>
      <w:bookmarkEnd w:id="162"/>
      <w:r>
        <w:rPr>
          <w:rFonts w:hint="eastAsia" w:ascii="Times New Roman" w:hAnsi="Times New Roman"/>
          <w:b/>
          <w:bCs/>
          <w:color w:val="auto"/>
          <w:sz w:val="32"/>
          <w:szCs w:val="32"/>
          <w:highlight w:val="none"/>
        </w:rPr>
        <w:t xml:space="preserve">成交</w:t>
      </w:r>
      <w:r/>
    </w:p>
    <w:p>
      <w:pPr>
        <w:ind w:firstLine="420"/>
        <w:keepLines/>
        <w:keepNext/>
        <w:spacing w:line="360" w:lineRule="auto"/>
        <w:rPr>
          <w:rFonts w:hint="eastAsia" w:ascii="Arial" w:hAnsi="Arial" w:eastAsia="黑体" w:cs="Arial"/>
          <w:color w:val="auto"/>
          <w:sz w:val="28"/>
          <w:szCs w:val="28"/>
          <w:highlight w:val="none"/>
          <w:lang w:eastAsia="zh-CN"/>
        </w:rPr>
        <w:outlineLvl w:val="3"/>
      </w:pPr>
      <w:r/>
      <w:bookmarkStart w:id="163" w:name="_Toc513029238"/>
      <w:r/>
      <w:bookmarkStart w:id="164" w:name="_Toc20823310"/>
      <w:r/>
      <w:bookmarkStart w:id="165" w:name="_Toc1693855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w:t>
      </w:r>
      <w:bookmarkEnd w:id="163"/>
      <w:r>
        <w:rPr>
          <w:rFonts w:hint="eastAsia" w:ascii="Arial" w:hAnsi="Arial" w:eastAsia="黑体" w:cs="Arial"/>
          <w:color w:val="auto"/>
          <w:sz w:val="28"/>
          <w:szCs w:val="28"/>
          <w:highlight w:val="none"/>
        </w:rPr>
        <w:t xml:space="preserve">确定</w:t>
      </w:r>
      <w:bookmarkEnd w:id="164"/>
      <w:r/>
      <w:bookmarkEnd w:id="165"/>
      <w:r>
        <w:rPr>
          <w:rFonts w:hint="eastAsia" w:ascii="Arial" w:hAnsi="Arial" w:eastAsia="黑体" w:cs="Arial"/>
          <w:color w:val="auto"/>
          <w:sz w:val="28"/>
          <w:szCs w:val="28"/>
          <w:highlight w:val="none"/>
          <w:lang w:eastAsia="zh-CN"/>
        </w:rPr>
        <w:t xml:space="preserve">成交供应商</w:t>
      </w:r>
      <w:r/>
    </w:p>
    <w:p>
      <w:pPr>
        <w:ind w:firstLine="478"/>
        <w:spacing w:after="143" w:line="360" w:lineRule="auto"/>
        <w:tabs>
          <w:tab w:val="left" w:pos="900" w:leader="none"/>
        </w:tabs>
        <w:rPr>
          <w:rFonts w:hint="eastAsia" w:ascii="宋体" w:hAnsi="宋体"/>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.2采购人从评审报告提出的成交候选供应商中，按照排序由高到低的原则确定成交供应商。采购人确定成交供应商后，采购人将在“江苏政府采购网”发布成交结果公告，公告期限为1个工作日。</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28.3若有充分证据证明，成交供应商出现下列情况之一的，一经查实，将被取消成交资格：</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28.3.1提供虚假材料谋取成交的。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28.3.2与评审专家、采购人、其他供应商或者代理机构工作人员恶意串通的。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28.3.3向评审专家、采购人或代理机构工作人员行贿或者提供其他不正当利益的。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28.3.4恶意竞争，最后报价明显低于其自身合理成本且又无法提供证明的。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28.3.5不满足本磋商文件规定的实质性要求，但在评审过程中又未被磋商小组发现的。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28.3.7将政府采购合同转包的。</w:t>
      </w:r>
      <w:r/>
    </w:p>
    <w:p>
      <w:pPr>
        <w:ind w:firstLine="420"/>
        <w:keepLines/>
        <w:keepNext/>
        <w:spacing w:line="360" w:lineRule="auto"/>
        <w:rPr>
          <w:rFonts w:hint="eastAsia" w:ascii="Arial" w:hAnsi="Arial" w:eastAsia="黑体" w:cs="Arial"/>
          <w:color w:val="auto"/>
          <w:sz w:val="28"/>
          <w:szCs w:val="28"/>
          <w:highlight w:val="none"/>
        </w:rPr>
        <w:outlineLvl w:val="3"/>
      </w:pPr>
      <w:r/>
      <w:bookmarkStart w:id="166" w:name="_Toc200451960"/>
      <w:r>
        <w:rPr>
          <w:rFonts w:ascii="Arial" w:hAnsi="Arial" w:eastAsia="黑体" w:cs="Arial"/>
          <w:color w:val="auto"/>
          <w:sz w:val="28"/>
          <w:szCs w:val="28"/>
          <w:highlight w:val="none"/>
        </w:rPr>
        <w:t xml:space="preserve">29</w:t>
      </w:r>
      <w:r>
        <w:rPr>
          <w:rFonts w:hint="eastAsia" w:ascii="Arial" w:hAnsi="Arial" w:eastAsia="黑体" w:cs="Arial"/>
          <w:color w:val="auto"/>
          <w:sz w:val="28"/>
          <w:szCs w:val="28"/>
          <w:highlight w:val="none"/>
        </w:rPr>
        <w:t xml:space="preserve">、质疑处理</w:t>
      </w:r>
      <w:bookmarkEnd w:id="166"/>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2"/>
        <w:keepLines w:val="0"/>
        <w:keepNext w:val="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2"/>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29.2.1对可以质疑的采购文件提出质疑的，为收到采购文件之日或者采购文件公告期限届满之日。</w:t>
      </w:r>
      <w:r/>
    </w:p>
    <w:p>
      <w:pPr>
        <w:ind w:firstLine="482"/>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29.2.2对采购过程提出质疑的，为各采购程序环节结束之日。</w:t>
      </w:r>
      <w:r/>
    </w:p>
    <w:p>
      <w:pPr>
        <w:ind w:firstLine="482"/>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29.2.3对成交结果提出质疑的，为成交结果公告期限届满之日。</w:t>
      </w:r>
      <w:r/>
    </w:p>
    <w:p>
      <w:pPr>
        <w:ind w:firstLine="482"/>
        <w:keepLines w:val="0"/>
        <w:keepNext w:val="0"/>
        <w:pageBreakBefore w:val="0"/>
        <w:spacing w:line="360" w:lineRule="auto"/>
        <w:widowControl w:val="off"/>
        <w:rPr>
          <w:rFonts w:hint="eastAsia" w:ascii="Times New Roman" w:hAnsi="宋体" w:cs="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w:t>
      </w:r>
      <w:r>
        <w:rPr>
          <w:rFonts w:hint="eastAsia" w:ascii="Times New Roman" w:hAnsi="宋体" w:cs="宋体"/>
          <w:color w:val="auto"/>
          <w:sz w:val="24"/>
          <w:szCs w:val="24"/>
          <w:highlight w:val="none"/>
        </w:rPr>
        <w:t xml:space="preserve">定期限内对同一采购程序环节提出多次质疑的，代理机构、</w:t>
      </w:r>
      <w:r>
        <w:rPr>
          <w:rFonts w:ascii="Times New Roman" w:hAnsi="宋体" w:cs="宋体"/>
          <w:color w:val="auto"/>
          <w:sz w:val="24"/>
          <w:szCs w:val="24"/>
          <w:highlight w:val="none"/>
        </w:rPr>
        <w:t xml:space="preserve">采购人</w:t>
      </w:r>
      <w:r>
        <w:rPr>
          <w:rFonts w:hint="eastAsia" w:ascii="Times New Roman" w:hAnsi="宋体" w:cs="宋体"/>
          <w:color w:val="auto"/>
          <w:sz w:val="24"/>
          <w:szCs w:val="24"/>
          <w:highlight w:val="none"/>
        </w:rPr>
        <w:t xml:space="preserve">将只对供应商第一次质疑作出答复。</w:t>
      </w:r>
      <w:r/>
    </w:p>
    <w:p>
      <w:pPr>
        <w:ind w:firstLine="482"/>
        <w:keepLines w:val="0"/>
        <w:keepNext w:val="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b/>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.4 供应商（含</w:t>
      </w:r>
      <w:r>
        <w:rPr>
          <w:rFonts w:ascii="宋体" w:hAnsi="宋体"/>
          <w:color w:val="auto"/>
          <w:sz w:val="24"/>
          <w:szCs w:val="24"/>
          <w:highlight w:val="none"/>
        </w:rPr>
        <w:t xml:space="preserve">潜在供应商</w:t>
      </w:r>
      <w:r>
        <w:rPr>
          <w:rFonts w:hint="eastAsia" w:ascii="宋体" w:hAnsi="宋体"/>
          <w:color w:val="auto"/>
          <w:sz w:val="24"/>
          <w:szCs w:val="24"/>
          <w:highlight w:val="none"/>
        </w:rPr>
        <w:t xml:space="preserve">）对与</w:t>
      </w:r>
      <w:r>
        <w:rPr>
          <w:rFonts w:ascii="宋体" w:hAnsi="宋体"/>
          <w:color w:val="auto"/>
          <w:sz w:val="24"/>
          <w:szCs w:val="24"/>
          <w:highlight w:val="none"/>
        </w:rPr>
        <w:t xml:space="preserve">本项目</w:t>
      </w:r>
      <w:r>
        <w:rPr>
          <w:rFonts w:hint="eastAsia" w:ascii="宋体" w:hAnsi="宋体"/>
          <w:color w:val="auto"/>
          <w:sz w:val="24"/>
          <w:szCs w:val="24"/>
          <w:highlight w:val="none"/>
        </w:rPr>
        <w:t xml:space="preserve">有关的</w:t>
      </w:r>
      <w:r>
        <w:rPr>
          <w:rFonts w:ascii="宋体" w:hAnsi="宋体"/>
          <w:color w:val="auto"/>
          <w:sz w:val="24"/>
          <w:szCs w:val="24"/>
          <w:highlight w:val="none"/>
        </w:rPr>
        <w:t xml:space="preserve">所有询问、质疑</w:t>
      </w:r>
      <w:r>
        <w:rPr>
          <w:rFonts w:hint="eastAsia" w:ascii="宋体" w:hAnsi="宋体"/>
          <w:color w:val="auto"/>
          <w:sz w:val="24"/>
          <w:szCs w:val="24"/>
          <w:highlight w:val="none"/>
        </w:rPr>
        <w:t xml:space="preserve">均</w:t>
      </w:r>
      <w:r>
        <w:rPr>
          <w:rFonts w:ascii="宋体" w:hAnsi="宋体"/>
          <w:color w:val="auto"/>
          <w:sz w:val="24"/>
          <w:szCs w:val="24"/>
          <w:highlight w:val="none"/>
        </w:rPr>
        <w:t xml:space="preserve">请向采购人提出，由采购人负责答复。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采购人及代理机构只接收以纸质原件形式送达的质疑,建议供应商尽量通过邮寄方式提交质疑（采购人和代理机构不接受未填写快递运单的快件）。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采购人质疑接收人及联系方式见本磋商文件第一章。</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 以下情形的质疑不予受理</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.5.1 内容不符合《政府采购质疑和投诉办法》第十二条规定的质疑。</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.5.2 超出政府采购法定期限的质疑。</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.5.3 以传真、电子邮件等方式递交的非原件形式的质疑。</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.5.4 未参加磋商活动的供应商或在磋商活动中自身权益未受到损害的供应商所提出的质疑。</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.5.5供应商组成联合体参加磋商，联合体中任何一方或多方未按要求签字、盖章、加盖公章的质疑。</w:t>
      </w:r>
      <w:r/>
    </w:p>
    <w:p>
      <w:pPr>
        <w:ind w:firstLine="468"/>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、成交通知书</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0</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3" w:after="143" w:line="360" w:lineRule="auto"/>
        <w:rPr>
          <w:rFonts w:hint="eastAsia" w:ascii="Times New Roman" w:hAnsi="Times New Roman"/>
          <w:b/>
          <w:bCs/>
          <w:color w:val="auto"/>
          <w:sz w:val="32"/>
          <w:szCs w:val="32"/>
          <w:highlight w:val="none"/>
        </w:rPr>
        <w:outlineLvl w:val="2"/>
      </w:pPr>
      <w:r/>
      <w:bookmarkStart w:id="167" w:name="_Toc20823308"/>
      <w:r/>
      <w:bookmarkStart w:id="168" w:name="_Toc513029236"/>
      <w:r/>
      <w:bookmarkStart w:id="169" w:name="_Toc16938552"/>
      <w:r/>
      <w:bookmarkStart w:id="170" w:name="_Toc120614220"/>
      <w:r>
        <w:rPr>
          <w:rFonts w:hint="eastAsia" w:ascii="Times New Roman" w:hAnsi="Times New Roman"/>
          <w:b/>
          <w:bCs/>
          <w:color w:val="auto"/>
          <w:sz w:val="32"/>
          <w:szCs w:val="32"/>
          <w:highlight w:val="none"/>
        </w:rPr>
        <w:t xml:space="preserve">七、授予合同</w:t>
      </w:r>
      <w:bookmarkEnd w:id="167"/>
      <w:r/>
      <w:bookmarkEnd w:id="168"/>
      <w:r/>
      <w:bookmarkEnd w:id="169"/>
      <w:r/>
      <w:bookmarkEnd w:id="170"/>
      <w:r/>
      <w:r/>
    </w:p>
    <w:p>
      <w:pPr>
        <w:ind w:firstLine="420"/>
        <w:keepLines/>
        <w:keepNext/>
        <w:spacing w:line="360" w:lineRule="auto"/>
        <w:rPr>
          <w:rFonts w:hint="eastAsia" w:ascii="Arial" w:hAnsi="Arial" w:eastAsia="黑体" w:cs="Arial"/>
          <w:color w:val="auto"/>
          <w:sz w:val="28"/>
          <w:szCs w:val="28"/>
          <w:highlight w:val="none"/>
        </w:rPr>
        <w:outlineLvl w:val="3"/>
      </w:pPr>
      <w:r/>
      <w:bookmarkStart w:id="171" w:name="_Toc20823309"/>
      <w:r/>
      <w:bookmarkStart w:id="172" w:name="_Toc16938553"/>
      <w:r/>
      <w:bookmarkStart w:id="173" w:name="_Toc513029237"/>
      <w:r>
        <w:rPr>
          <w:rFonts w:hint="eastAsia" w:ascii="Arial" w:hAnsi="Arial" w:eastAsia="黑体" w:cs="Arial"/>
          <w:color w:val="auto"/>
          <w:sz w:val="28"/>
          <w:szCs w:val="28"/>
          <w:highlight w:val="none"/>
        </w:rPr>
        <w:t xml:space="preserve">3</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、签订合同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.l成交供应商应当在成交通知书发出之日起三十日内，按照磋商文件确定的事项与采购人签订政府采购合同。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.2磋商文件、成交供应商的响应文件及磋商过程中有关澄清、承诺文件均应作为合同附件。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32、履约保证金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32.1成交供应商在收到成交通知书后，根据合同内容规定成交供应商缴纳</w:t>
      </w:r>
      <w:r>
        <w:rPr>
          <w:rFonts w:hint="eastAsia" w:ascii="宋体" w:hAnsi="宋体"/>
          <w:color w:val="auto"/>
          <w:sz w:val="24"/>
          <w:szCs w:val="24"/>
          <w:highlight w:val="none"/>
          <w:lang w:val="en-US" w:eastAsia="zh-CN"/>
        </w:rPr>
        <w:t xml:space="preserve">合同</w:t>
      </w:r>
      <w:r>
        <w:rPr>
          <w:rFonts w:hint="eastAsia" w:ascii="宋体" w:hAnsi="宋体"/>
          <w:color w:val="auto"/>
          <w:sz w:val="24"/>
          <w:szCs w:val="24"/>
          <w:highlight w:val="none"/>
        </w:rPr>
        <w:t xml:space="preserve">价的10%作为履约保证金，履约保证金应当以转账形式提交，逾期视为成交供应商自动放弃成交资格，采购人有权按照相关程序另行确定成交供应商。</w:t>
      </w:r>
      <w:r/>
    </w:p>
    <w:p>
      <w:pPr>
        <w:ind w:firstLine="6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32.2履约保证金用以约束成交供应商在合同履行中的行为，弥补合同执行中由于自身行为可能给采购人带来的各种损失。如果成交供应商未按照规定缴纳，采购人有权取消本次采购成交决定。</w:t>
      </w:r>
      <w:r/>
    </w:p>
    <w:p>
      <w:pPr>
        <w:ind w:firstLine="60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32.3履约保证金的退还：项目</w:t>
      </w:r>
      <w:r>
        <w:rPr>
          <w:rFonts w:hint="eastAsia" w:ascii="宋体" w:hAnsi="宋体"/>
          <w:color w:val="auto"/>
          <w:sz w:val="24"/>
          <w:szCs w:val="24"/>
          <w:highlight w:val="none"/>
          <w:lang w:eastAsia="zh-CN"/>
        </w:rPr>
        <w:t xml:space="preserve">验收</w:t>
      </w:r>
      <w:r>
        <w:rPr>
          <w:rFonts w:hint="eastAsia" w:ascii="宋体" w:hAnsi="宋体"/>
          <w:color w:val="auto"/>
          <w:sz w:val="24"/>
          <w:szCs w:val="24"/>
          <w:highlight w:val="none"/>
        </w:rPr>
        <w:t xml:space="preserve">合格后，成交供应商凭采购人签署的同意退还履约保证金的证明，前往采购人处办理保证金退还手续。履约保证金未如期归还，给</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造成损失，由</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承担。采购人拖延退还履约保证金，由采购人按应退履约保证金总价款同期银行贷款利率承担违约责任。</w:t>
      </w:r>
      <w:r/>
    </w:p>
    <w:p>
      <w:pPr>
        <w:ind w:firstLine="60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32.4履约验收合格标准：履约验收参考《江苏省政府采购履约验收管理办法》，验收书参考样本详见“第三章 合同文本”。服务考核采用季度考评（日常检查、定期、监督检查）、年终考评考核方式，考核结果分优良、合格、不合格三个档次。季度考评（日常检查、定期、监督检查）、年终考评由采购人组织实施或委托第三方开展。</w:t>
      </w:r>
      <w:r/>
    </w:p>
    <w:p>
      <w:pPr>
        <w:ind w:firstLine="60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考核共分三个档次，其中：合计分＜80，不合格；80≤合计分＜90，合格；合计分≥90，优良。即供应商考核分须达到80分方可视为验收合格。</w:t>
      </w:r>
      <w:r/>
    </w:p>
    <w:p>
      <w:pPr>
        <w:ind w:firstLine="60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具体考核内容及细则详见“第三章 合同文本”。</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33、标的物的追加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71"/>
      <w:r/>
      <w:bookmarkEnd w:id="172"/>
      <w:r/>
      <w:bookmarkEnd w:id="173"/>
      <w:r/>
      <w:r/>
    </w:p>
    <w:p>
      <w:pPr>
        <w:ind w:firstLine="420"/>
        <w:keepLines/>
        <w:keepNext/>
        <w:spacing w:line="360" w:lineRule="auto"/>
        <w:rPr>
          <w:rFonts w:ascii="Arial" w:hAnsi="Arial" w:eastAsia="黑体" w:cs="Arial"/>
          <w:color w:val="auto"/>
          <w:sz w:val="28"/>
          <w:szCs w:val="28"/>
          <w:highlight w:val="none"/>
        </w:rPr>
        <w:outlineLvl w:val="3"/>
      </w:pPr>
      <w:r/>
      <w:bookmarkStart w:id="174" w:name="_Toc20823314"/>
      <w:r/>
      <w:bookmarkStart w:id="175" w:name="_Toc16938558"/>
      <w:r/>
      <w:bookmarkStart w:id="176" w:name="_Toc513029242"/>
      <w:r/>
      <w:bookmarkStart w:id="177" w:name="_Toc479757207"/>
      <w:r/>
      <w:bookmarkStart w:id="178" w:name="_Toc120614221"/>
      <w:r>
        <w:rPr>
          <w:rFonts w:hint="eastAsia" w:ascii="Arial" w:hAnsi="Arial" w:eastAsia="黑体" w:cs="Arial"/>
          <w:color w:val="auto"/>
          <w:sz w:val="28"/>
          <w:szCs w:val="28"/>
          <w:highlight w:val="none"/>
        </w:rPr>
        <w:t xml:space="preserve">34、政府采购履约资金扶持政策</w:t>
      </w:r>
      <w:r/>
    </w:p>
    <w:p>
      <w:pPr>
        <w:ind w:firstLine="555"/>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成交供应商可凭政府采购合同办理融资贷款，详情请见江苏政府采购网“政采贷”专栏。</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br w:type="page" w:clear="all"/>
      </w:r>
      <w:r/>
    </w:p>
    <w:p>
      <w:pPr>
        <w:jc w:val="center"/>
        <w:keepNext/>
        <w:spacing w:line="360" w:lineRule="auto"/>
        <w:rPr>
          <w:rFonts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第三章  合同</w:t>
      </w:r>
      <w:bookmarkEnd w:id="174"/>
      <w:r/>
      <w:bookmarkEnd w:id="175"/>
      <w:r/>
      <w:bookmarkEnd w:id="176"/>
      <w:r/>
      <w:bookmarkEnd w:id="177"/>
      <w:r/>
      <w:bookmarkEnd w:id="178"/>
      <w:r>
        <w:rPr>
          <w:rFonts w:hint="eastAsia" w:ascii="黑体" w:hAnsi="Times New Roman" w:eastAsia="黑体"/>
          <w:bCs/>
          <w:color w:val="auto"/>
          <w:sz w:val="44"/>
          <w:szCs w:val="28"/>
          <w:highlight w:val="none"/>
        </w:rPr>
        <w:t xml:space="preserve">文本</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合同编号：              </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u w:val="single"/>
        </w:rPr>
        <w:t xml:space="preserve">南通市通州区五接镇人民政府</w:t>
      </w:r>
      <w:r/>
    </w:p>
    <w:p>
      <w:pPr>
        <w:ind w:firstLine="480"/>
        <w:jc w:val="both"/>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乙方（</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根据相关法律法规的规定，在遵循自愿、平等、公平、互利原则的基础上，经友好协商，就甲方委托乙方</w:t>
      </w:r>
      <w:r>
        <w:rPr>
          <w:rFonts w:hint="eastAsia" w:ascii="宋体" w:hAnsi="宋体" w:eastAsia="宋体" w:cs="宋体"/>
          <w:color w:val="auto"/>
          <w:sz w:val="24"/>
          <w:szCs w:val="24"/>
          <w:highlight w:val="none"/>
          <w:u w:val="single"/>
        </w:rPr>
        <w:t xml:space="preserve"> 2025年五接镇</w:t>
      </w:r>
      <w:r>
        <w:rPr>
          <w:rFonts w:hint="eastAsia" w:ascii="宋体" w:hAnsi="宋体" w:cs="宋体"/>
          <w:color w:val="auto"/>
          <w:sz w:val="24"/>
          <w:szCs w:val="24"/>
          <w:highlight w:val="none"/>
          <w:u w:val="single"/>
          <w:lang w:val="en-US" w:eastAsia="zh-CN"/>
        </w:rPr>
        <w:t xml:space="preserve">21</w:t>
      </w:r>
      <w:r>
        <w:rPr>
          <w:rFonts w:hint="eastAsia" w:ascii="宋体" w:hAnsi="宋体" w:eastAsia="宋体" w:cs="宋体"/>
          <w:color w:val="auto"/>
          <w:sz w:val="24"/>
          <w:szCs w:val="24"/>
          <w:highlight w:val="none"/>
          <w:u w:val="single"/>
        </w:rPr>
        <w:t xml:space="preserve">00户分散农户生活污水治理工程运维项目 </w:t>
      </w:r>
      <w:r>
        <w:rPr>
          <w:rFonts w:hint="eastAsia" w:ascii="宋体" w:hAnsi="宋体" w:eastAsia="宋体" w:cs="宋体"/>
          <w:color w:val="auto"/>
          <w:sz w:val="24"/>
          <w:szCs w:val="24"/>
          <w:highlight w:val="none"/>
        </w:rPr>
        <w:t xml:space="preserve">事宜，签订本合同：</w:t>
      </w:r>
      <w:r/>
    </w:p>
    <w:p>
      <w:pPr>
        <w:ind w:firstLine="482"/>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第一条  运维项目及合同价款</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2025年五接镇</w:t>
      </w:r>
      <w:r>
        <w:rPr>
          <w:rFonts w:hint="eastAsia" w:ascii="宋体" w:hAnsi="宋体" w:cs="宋体"/>
          <w:color w:val="auto"/>
          <w:sz w:val="24"/>
          <w:szCs w:val="24"/>
          <w:highlight w:val="none"/>
          <w:u w:val="single"/>
          <w:lang w:val="en-US" w:eastAsia="zh-CN"/>
        </w:rPr>
        <w:t xml:space="preserve">21</w:t>
      </w:r>
      <w:r>
        <w:rPr>
          <w:rFonts w:hint="eastAsia" w:ascii="宋体" w:hAnsi="宋体" w:eastAsia="宋体" w:cs="宋体"/>
          <w:color w:val="auto"/>
          <w:sz w:val="24"/>
          <w:szCs w:val="24"/>
          <w:highlight w:val="none"/>
          <w:u w:val="single"/>
        </w:rPr>
        <w:t xml:space="preserve">00户分散农户生活污水治理工程运维项目</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运维内容：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运维价格：（大写）</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小写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第二条  本项目运维服务期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自</w:t>
      </w:r>
      <w:r>
        <w:rPr>
          <w:rFonts w:hint="eastAsia" w:ascii="宋体" w:hAnsi="宋体" w:cs="宋体"/>
          <w:color w:val="auto"/>
          <w:sz w:val="24"/>
          <w:szCs w:val="24"/>
          <w:highlight w:val="none"/>
          <w:u w:val="single"/>
        </w:rPr>
        <w:t xml:space="preserve">202</w:t>
      </w:r>
      <w:r>
        <w:rPr>
          <w:rFonts w:ascii="宋体" w:hAnsi="宋体" w:cs="宋体"/>
          <w:color w:val="auto"/>
          <w:sz w:val="24"/>
          <w:szCs w:val="24"/>
          <w:highlight w:val="none"/>
          <w:u w:val="single"/>
        </w:rPr>
        <w:t xml:space="preserve">6</w:t>
      </w:r>
      <w:r>
        <w:rPr>
          <w:rFonts w:hint="eastAsia" w:ascii="宋体" w:hAnsi="宋体" w:cs="宋体"/>
          <w:color w:val="auto"/>
          <w:sz w:val="24"/>
          <w:szCs w:val="24"/>
          <w:highlight w:val="none"/>
        </w:rPr>
        <w:t xml:space="preserve">年</w:t>
      </w:r>
      <w:r>
        <w:rPr>
          <w:rFonts w:ascii="宋体" w:hAnsi="宋体" w:cs="宋体"/>
          <w:color w:val="auto"/>
          <w:sz w:val="24"/>
          <w:szCs w:val="24"/>
          <w:highlight w:val="none"/>
          <w:u w:val="single"/>
        </w:rPr>
        <w:t xml:space="preserve">1</w:t>
      </w:r>
      <w:r>
        <w:rPr>
          <w:rFonts w:hint="eastAsia" w:ascii="宋体" w:hAnsi="宋体" w:cs="宋体"/>
          <w:color w:val="auto"/>
          <w:sz w:val="24"/>
          <w:szCs w:val="24"/>
          <w:highlight w:val="none"/>
        </w:rPr>
        <w:t xml:space="preserve">月</w:t>
      </w:r>
      <w:r>
        <w:rPr>
          <w:rFonts w:ascii="宋体" w:hAnsi="宋体" w:cs="宋体"/>
          <w:color w:val="auto"/>
          <w:sz w:val="24"/>
          <w:szCs w:val="24"/>
          <w:highlight w:val="none"/>
          <w:u w:val="single"/>
        </w:rPr>
        <w:t xml:space="preserve">1</w:t>
      </w:r>
      <w:r>
        <w:rPr>
          <w:rFonts w:hint="eastAsia" w:ascii="宋体" w:hAnsi="宋体" w:cs="宋体"/>
          <w:color w:val="auto"/>
          <w:sz w:val="24"/>
          <w:szCs w:val="24"/>
          <w:highlight w:val="none"/>
        </w:rPr>
        <w:t xml:space="preserve">日起至</w:t>
      </w:r>
      <w:r>
        <w:rPr>
          <w:rFonts w:hint="eastAsia" w:ascii="宋体" w:hAnsi="宋体" w:cs="宋体"/>
          <w:color w:val="auto"/>
          <w:sz w:val="24"/>
          <w:szCs w:val="24"/>
          <w:highlight w:val="none"/>
          <w:u w:val="single"/>
        </w:rPr>
        <w:t xml:space="preserve">202</w:t>
      </w:r>
      <w:r>
        <w:rPr>
          <w:rFonts w:ascii="宋体" w:hAnsi="宋体" w:cs="宋体"/>
          <w:color w:val="auto"/>
          <w:sz w:val="24"/>
          <w:szCs w:val="24"/>
          <w:highlight w:val="none"/>
          <w:u w:val="single"/>
        </w:rPr>
        <w:t xml:space="preserve">7</w:t>
      </w:r>
      <w:r>
        <w:rPr>
          <w:rFonts w:hint="eastAsia" w:ascii="宋体" w:hAnsi="宋体" w:cs="宋体"/>
          <w:color w:val="auto"/>
          <w:sz w:val="24"/>
          <w:szCs w:val="24"/>
          <w:highlight w:val="none"/>
        </w:rPr>
        <w:t xml:space="preserve">年</w:t>
      </w:r>
      <w:r>
        <w:rPr>
          <w:rFonts w:ascii="宋体" w:hAnsi="宋体" w:cs="宋体"/>
          <w:color w:val="auto"/>
          <w:sz w:val="24"/>
          <w:szCs w:val="24"/>
          <w:highlight w:val="none"/>
          <w:u w:val="single"/>
        </w:rPr>
        <w:t xml:space="preserve">3</w:t>
      </w:r>
      <w:r>
        <w:rPr>
          <w:rFonts w:hint="eastAsia" w:ascii="宋体" w:hAnsi="宋体" w:cs="宋体"/>
          <w:color w:val="auto"/>
          <w:sz w:val="24"/>
          <w:szCs w:val="24"/>
          <w:highlight w:val="none"/>
        </w:rPr>
        <w:t xml:space="preserve">月</w:t>
      </w:r>
      <w:r>
        <w:rPr>
          <w:rFonts w:ascii="宋体" w:hAnsi="宋体" w:cs="宋体"/>
          <w:color w:val="auto"/>
          <w:sz w:val="24"/>
          <w:szCs w:val="24"/>
          <w:highlight w:val="none"/>
          <w:u w:val="single"/>
        </w:rPr>
        <w:t xml:space="preserve">17</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约14.6个月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2"/>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第三条  付款方式与收款账号</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1、付款方式</w:t>
      </w:r>
      <w:r/>
    </w:p>
    <w:p>
      <w:pPr>
        <w:ind w:firstLine="480"/>
        <w:jc w:val="both"/>
        <w:pageBreakBefore w:val="0"/>
        <w:spacing w:line="360" w:lineRule="auto"/>
        <w:widowControl w:val="off"/>
        <w:rPr>
          <w:rFonts w:hint="default" w:ascii="宋体" w:hAnsi="宋体" w:eastAsia="宋体" w:cs="宋体"/>
          <w:b w:val="0"/>
          <w:bCs w:val="0"/>
          <w:color w:val="auto"/>
          <w:sz w:val="24"/>
          <w:szCs w:val="24"/>
          <w:highlight w:val="none"/>
          <w:u w:val="single"/>
          <w:lang w:val="en-US" w:eastAsia="zh-CN"/>
        </w:rPr>
        <w:outlineLvl w:val="9"/>
      </w:pPr>
      <w:r>
        <w:rPr>
          <w:rFonts w:hint="eastAsia" w:ascii="宋体" w:hAnsi="宋体" w:cs="宋体"/>
          <w:b w:val="0"/>
          <w:bCs w:val="0"/>
          <w:color w:val="auto"/>
          <w:sz w:val="24"/>
          <w:szCs w:val="24"/>
          <w:highlight w:val="none"/>
          <w:u w:val="single"/>
          <w:lang w:val="en-US" w:eastAsia="zh-CN"/>
        </w:rPr>
        <w:t xml:space="preserve">考核合格后</w:t>
      </w:r>
      <w:r>
        <w:rPr>
          <w:rFonts w:hint="eastAsia" w:ascii="宋体" w:hAnsi="宋体" w:eastAsia="宋体" w:cs="宋体"/>
          <w:b w:val="0"/>
          <w:bCs w:val="0"/>
          <w:color w:val="auto"/>
          <w:sz w:val="24"/>
          <w:szCs w:val="24"/>
          <w:highlight w:val="none"/>
          <w:u w:val="single"/>
        </w:rPr>
        <w:t xml:space="preserve">运维费半年一结</w:t>
      </w:r>
      <w:r>
        <w:rPr>
          <w:rFonts w:hint="eastAsia" w:ascii="宋体" w:hAnsi="宋体" w:cs="宋体"/>
          <w:b w:val="0"/>
          <w:bCs w:val="0"/>
          <w:color w:val="auto"/>
          <w:sz w:val="24"/>
          <w:szCs w:val="24"/>
          <w:highlight w:val="none"/>
          <w:u w:val="single"/>
          <w:lang w:val="en-US" w:eastAsia="zh-CN"/>
        </w:rPr>
        <w:t xml:space="preserve">。</w:t>
      </w:r>
      <w:r/>
    </w:p>
    <w:p>
      <w:pPr>
        <w:ind w:firstLine="480"/>
        <w:jc w:val="both"/>
        <w:pageBreakBefore w:val="0"/>
        <w:spacing w:line="360" w:lineRule="auto"/>
        <w:widowControl w:val="off"/>
        <w:rPr>
          <w:rFonts w:hint="eastAsia" w:ascii="宋体" w:hAnsi="宋体" w:eastAsia="宋体" w:cs="宋体"/>
          <w:b/>
          <w:bCs/>
          <w:color w:val="auto"/>
          <w:sz w:val="24"/>
          <w:szCs w:val="24"/>
          <w:highlight w:val="none"/>
          <w:u w:val="single"/>
        </w:rPr>
        <w:outlineLvl w:val="9"/>
      </w:pPr>
      <w:r>
        <w:rPr>
          <w:rFonts w:hint="eastAsia" w:ascii="宋体" w:hAnsi="宋体" w:eastAsia="宋体" w:cs="宋体"/>
          <w:b w:val="0"/>
          <w:bCs w:val="0"/>
          <w:color w:val="auto"/>
          <w:sz w:val="24"/>
          <w:szCs w:val="24"/>
          <w:highlight w:val="none"/>
          <w:u w:val="none"/>
        </w:rPr>
        <w:t xml:space="preserve">若设施运维被政府其他部门接收，甲方有权终止被接收部分的运维，终止部分运维费按实际运维时间进行结算。支付前，需开具由税务部门开具的正式税务发票。</w:t>
      </w:r>
      <w:r/>
    </w:p>
    <w:p>
      <w:pPr>
        <w:ind w:firstLine="480"/>
        <w:jc w:val="both"/>
        <w:pageBreakBefore w:val="0"/>
        <w:spacing w:line="360" w:lineRule="auto"/>
        <w:widowControl w:val="off"/>
        <w:rPr>
          <w:rFonts w:hint="eastAsia" w:ascii="宋体" w:hAnsi="宋体" w:eastAsia="宋体" w:cs="宋体"/>
          <w:b w:val="0"/>
          <w:bCs/>
          <w:color w:val="auto"/>
          <w:sz w:val="24"/>
          <w:szCs w:val="24"/>
          <w:highlight w:val="none"/>
        </w:rPr>
        <w:outlineLvl w:val="9"/>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履约保证金</w:t>
      </w:r>
      <w:r/>
    </w:p>
    <w:p>
      <w:pPr>
        <w:ind w:firstLine="480"/>
        <w:jc w:val="both"/>
        <w:pageBreakBefore w:val="0"/>
        <w:spacing w:line="360" w:lineRule="auto"/>
        <w:widowControl w:val="off"/>
        <w:rPr>
          <w:rFonts w:hint="eastAsia" w:ascii="宋体" w:hAnsi="宋体" w:eastAsia="宋体" w:cs="宋体"/>
          <w:b w:val="0"/>
          <w:bCs/>
          <w:color w:val="auto"/>
          <w:sz w:val="24"/>
          <w:szCs w:val="24"/>
          <w:highlight w:val="none"/>
          <w:u w:val="single"/>
        </w:rPr>
        <w:outlineLvl w:val="9"/>
      </w:pPr>
      <w:r>
        <w:rPr>
          <w:rFonts w:hint="eastAsia" w:ascii="宋体" w:hAnsi="宋体" w:eastAsia="宋体" w:cs="宋体"/>
          <w:b w:val="0"/>
          <w:bCs/>
          <w:color w:val="auto"/>
          <w:sz w:val="24"/>
          <w:szCs w:val="24"/>
          <w:highlight w:val="none"/>
          <w:u w:val="none"/>
        </w:rPr>
        <w:t xml:space="preserve">履约保证金额为</w:t>
      </w:r>
      <w:r>
        <w:rPr>
          <w:rFonts w:hint="eastAsia" w:ascii="宋体" w:hAnsi="宋体" w:cs="宋体"/>
          <w:b w:val="0"/>
          <w:bCs/>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none"/>
        </w:rPr>
        <w:t xml:space="preserve">合同价的10%</w:t>
      </w:r>
      <w:r>
        <w:rPr>
          <w:rFonts w:hint="eastAsia" w:ascii="宋体" w:hAnsi="宋体" w:cs="宋体"/>
          <w:b w:val="0"/>
          <w:bCs/>
          <w:color w:val="auto"/>
          <w:sz w:val="24"/>
          <w:szCs w:val="24"/>
          <w:highlight w:val="none"/>
          <w:u w:val="none"/>
          <w:lang w:eastAsia="zh-CN"/>
        </w:rPr>
        <w:t xml:space="preserve">）</w:t>
      </w:r>
      <w:r/>
    </w:p>
    <w:p>
      <w:pPr>
        <w:ind w:firstLine="480"/>
        <w:jc w:val="both"/>
        <w:pageBreakBefore w:val="0"/>
        <w:spacing w:line="360" w:lineRule="auto"/>
        <w:widowControl w:val="off"/>
        <w:rPr>
          <w:rFonts w:hint="eastAsia" w:ascii="宋体" w:hAnsi="宋体" w:eastAsia="宋体" w:cs="宋体"/>
          <w:b w:val="0"/>
          <w:bCs/>
          <w:color w:val="auto"/>
          <w:sz w:val="24"/>
          <w:szCs w:val="24"/>
          <w:highlight w:val="none"/>
          <w:u w:val="single"/>
        </w:rPr>
        <w:outlineLvl w:val="9"/>
      </w:pPr>
      <w:r>
        <w:rPr>
          <w:rFonts w:hint="eastAsia" w:ascii="宋体" w:hAnsi="宋体" w:eastAsia="宋体" w:cs="宋体"/>
          <w:b w:val="0"/>
          <w:bCs/>
          <w:color w:val="auto"/>
          <w:sz w:val="24"/>
          <w:szCs w:val="24"/>
          <w:highlight w:val="none"/>
          <w:u w:val="none"/>
        </w:rPr>
        <w:t xml:space="preserve">履约保证金的退还：</w:t>
      </w:r>
      <w:r>
        <w:rPr>
          <w:rFonts w:hint="eastAsia" w:ascii="宋体" w:hAnsi="宋体" w:eastAsia="宋体" w:cs="宋体"/>
          <w:b w:val="0"/>
          <w:bCs/>
          <w:color w:val="auto"/>
          <w:sz w:val="24"/>
          <w:szCs w:val="24"/>
          <w:highlight w:val="none"/>
          <w:u w:val="single"/>
        </w:rPr>
        <w:t xml:space="preserve">项目</w:t>
      </w:r>
      <w:r>
        <w:rPr>
          <w:rFonts w:hint="eastAsia" w:ascii="宋体" w:hAnsi="宋体" w:cs="宋体"/>
          <w:b w:val="0"/>
          <w:bCs/>
          <w:color w:val="auto"/>
          <w:sz w:val="24"/>
          <w:szCs w:val="24"/>
          <w:highlight w:val="none"/>
          <w:u w:val="single"/>
          <w:lang w:eastAsia="zh-CN"/>
        </w:rPr>
        <w:t xml:space="preserve">验收</w:t>
      </w:r>
      <w:r>
        <w:rPr>
          <w:rFonts w:hint="eastAsia" w:ascii="宋体" w:hAnsi="宋体" w:eastAsia="宋体" w:cs="宋体"/>
          <w:b w:val="0"/>
          <w:bCs/>
          <w:color w:val="auto"/>
          <w:sz w:val="24"/>
          <w:szCs w:val="24"/>
          <w:highlight w:val="none"/>
          <w:u w:val="single"/>
        </w:rPr>
        <w:t xml:space="preserve">合格后，</w:t>
      </w:r>
      <w:r>
        <w:rPr>
          <w:rFonts w:hint="eastAsia" w:ascii="宋体" w:hAnsi="宋体" w:cs="宋体"/>
          <w:b w:val="0"/>
          <w:bCs/>
          <w:color w:val="auto"/>
          <w:sz w:val="24"/>
          <w:szCs w:val="24"/>
          <w:highlight w:val="none"/>
          <w:u w:val="single"/>
          <w:lang w:val="en-US" w:eastAsia="zh-CN"/>
        </w:rPr>
        <w:t xml:space="preserve">乙方</w:t>
      </w:r>
      <w:r>
        <w:rPr>
          <w:rFonts w:hint="eastAsia" w:ascii="宋体" w:hAnsi="宋体" w:eastAsia="宋体" w:cs="宋体"/>
          <w:b w:val="0"/>
          <w:bCs/>
          <w:color w:val="auto"/>
          <w:sz w:val="24"/>
          <w:szCs w:val="24"/>
          <w:highlight w:val="none"/>
          <w:u w:val="single"/>
        </w:rPr>
        <w:t xml:space="preserve">凭</w:t>
      </w:r>
      <w:r>
        <w:rPr>
          <w:rFonts w:hint="eastAsia" w:ascii="宋体" w:hAnsi="宋体" w:cs="宋体"/>
          <w:b w:val="0"/>
          <w:bCs/>
          <w:color w:val="auto"/>
          <w:sz w:val="24"/>
          <w:szCs w:val="24"/>
          <w:highlight w:val="none"/>
          <w:u w:val="single"/>
          <w:lang w:val="en-US" w:eastAsia="zh-CN"/>
        </w:rPr>
        <w:t xml:space="preserve">甲方</w:t>
      </w:r>
      <w:r>
        <w:rPr>
          <w:rFonts w:hint="eastAsia" w:ascii="宋体" w:hAnsi="宋体" w:eastAsia="宋体" w:cs="宋体"/>
          <w:b w:val="0"/>
          <w:bCs/>
          <w:color w:val="auto"/>
          <w:sz w:val="24"/>
          <w:szCs w:val="24"/>
          <w:highlight w:val="none"/>
          <w:u w:val="single"/>
        </w:rPr>
        <w:t xml:space="preserve">签署的同意退还履约保证金的证明，前往</w:t>
      </w:r>
      <w:r>
        <w:rPr>
          <w:rFonts w:hint="eastAsia" w:ascii="宋体" w:hAnsi="宋体" w:cs="宋体"/>
          <w:b w:val="0"/>
          <w:bCs/>
          <w:color w:val="auto"/>
          <w:sz w:val="24"/>
          <w:szCs w:val="24"/>
          <w:highlight w:val="none"/>
          <w:u w:val="single"/>
          <w:lang w:val="en-US" w:eastAsia="zh-CN"/>
        </w:rPr>
        <w:t xml:space="preserve">甲方</w:t>
      </w:r>
      <w:r>
        <w:rPr>
          <w:rFonts w:hint="eastAsia" w:ascii="宋体" w:hAnsi="宋体" w:eastAsia="宋体" w:cs="宋体"/>
          <w:b w:val="0"/>
          <w:bCs/>
          <w:color w:val="auto"/>
          <w:sz w:val="24"/>
          <w:szCs w:val="24"/>
          <w:highlight w:val="none"/>
          <w:u w:val="single"/>
        </w:rPr>
        <w:t xml:space="preserve">处办理保证金退还手续。履约验收参考《江苏省政府采购履约验收管理办法》，验收书参考样本详见</w:t>
      </w:r>
      <w:r>
        <w:rPr>
          <w:rFonts w:hint="eastAsia" w:ascii="宋体" w:hAnsi="宋体" w:cs="宋体"/>
          <w:b w:val="0"/>
          <w:bCs/>
          <w:color w:val="auto"/>
          <w:sz w:val="24"/>
          <w:szCs w:val="24"/>
          <w:highlight w:val="none"/>
          <w:u w:val="single"/>
          <w:lang w:val="en-US" w:eastAsia="zh-CN"/>
        </w:rPr>
        <w:t xml:space="preserve">附件4</w:t>
      </w:r>
      <w:r>
        <w:rPr>
          <w:rFonts w:hint="eastAsia" w:ascii="宋体" w:hAnsi="宋体" w:eastAsia="宋体" w:cs="宋体"/>
          <w:b w:val="0"/>
          <w:bCs/>
          <w:color w:val="auto"/>
          <w:sz w:val="24"/>
          <w:szCs w:val="24"/>
          <w:highlight w:val="none"/>
          <w:u w:val="single"/>
        </w:rPr>
        <w:t xml:space="preserve">。</w:t>
      </w:r>
      <w:r/>
    </w:p>
    <w:p>
      <w:pPr>
        <w:ind w:firstLine="480"/>
        <w:jc w:val="both"/>
        <w:pageBreakBefore w:val="0"/>
        <w:spacing w:line="360" w:lineRule="auto"/>
        <w:widowControl w:val="off"/>
        <w:rPr>
          <w:rFonts w:hint="eastAsia" w:ascii="宋体" w:hAnsi="宋体" w:eastAsia="宋体" w:cs="宋体"/>
          <w:b w:val="0"/>
          <w:bCs/>
          <w:color w:val="auto"/>
          <w:sz w:val="24"/>
          <w:szCs w:val="24"/>
          <w:highlight w:val="none"/>
        </w:rPr>
        <w:outlineLvl w:val="9"/>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收款账户信息</w:t>
      </w:r>
      <w:r/>
    </w:p>
    <w:p>
      <w:pPr>
        <w:ind w:firstLine="480"/>
        <w:jc w:val="both"/>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（1）户名：                      </w:t>
      </w:r>
      <w:r/>
    </w:p>
    <w:p>
      <w:pPr>
        <w:ind w:firstLine="480"/>
        <w:jc w:val="both"/>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（2）开户行：                    </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（3）账号：</w:t>
      </w:r>
      <w:r>
        <w:rPr>
          <w:rFonts w:hint="eastAsia" w:ascii="宋体" w:hAnsi="宋体" w:eastAsia="宋体" w:cs="宋体"/>
          <w:color w:val="auto"/>
          <w:sz w:val="24"/>
          <w:szCs w:val="24"/>
          <w:highlight w:val="none"/>
        </w:rPr>
        <w:t xml:space="preserve">                    </w:t>
      </w:r>
      <w:r/>
    </w:p>
    <w:p>
      <w:pPr>
        <w:ind w:firstLine="482"/>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第四条  运维标准</w:t>
      </w:r>
      <w:r/>
    </w:p>
    <w:p>
      <w:pPr>
        <w:ind w:firstLine="480"/>
        <w:jc w:val="both"/>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（1）《室外真空排水系统工程技术规程》（CECS 316-2012）</w:t>
      </w:r>
      <w:r>
        <w:rPr>
          <w:rFonts w:hint="eastAsia" w:ascii="宋体" w:hAnsi="宋体" w:eastAsia="宋体" w:cs="宋体"/>
          <w:color w:val="auto"/>
          <w:sz w:val="24"/>
          <w:szCs w:val="24"/>
          <w:highlight w:val="none"/>
          <w:lang w:eastAsia="zh-CN"/>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国家、地方、行业现行的建设工程其他规范和标准；</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）国家、地方、行业现行的有关材料、设备的规范和标准；</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提供标准、规范的时间：上述标准、规范由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自行收集，费用包含在合同价内。</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）国内没有相应标准、规范时的约定：按设计要求执行。</w:t>
      </w:r>
      <w:r/>
    </w:p>
    <w:p>
      <w:pPr>
        <w:ind w:firstLine="482"/>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第五条  甲方责任</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1、负责协调提供运维的现场条件。</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2、负责协调</w:t>
      </w:r>
      <w:r>
        <w:rPr>
          <w:rFonts w:hint="eastAsia" w:ascii="宋体" w:hAnsi="宋体" w:cs="宋体"/>
          <w:color w:val="auto"/>
          <w:sz w:val="24"/>
          <w:szCs w:val="24"/>
          <w:highlight w:val="none"/>
          <w:lang w:val="en-US" w:eastAsia="zh-CN"/>
        </w:rPr>
        <w:t xml:space="preserve">运维相关</w:t>
      </w:r>
      <w:r>
        <w:rPr>
          <w:rFonts w:hint="eastAsia" w:ascii="宋体" w:hAnsi="宋体" w:eastAsia="宋体" w:cs="宋体"/>
          <w:color w:val="auto"/>
          <w:sz w:val="24"/>
          <w:szCs w:val="24"/>
          <w:highlight w:val="none"/>
        </w:rPr>
        <w:t xml:space="preserve">设施的防火、防盗等安全措施。</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3、按照合同约定向乙方按时足额支付</w:t>
      </w:r>
      <w:r>
        <w:rPr>
          <w:rFonts w:hint="eastAsia" w:ascii="宋体" w:hAnsi="宋体" w:cs="宋体"/>
          <w:color w:val="auto"/>
          <w:sz w:val="24"/>
          <w:szCs w:val="24"/>
          <w:highlight w:val="none"/>
          <w:lang w:eastAsia="zh-CN"/>
        </w:rPr>
        <w:t xml:space="preserve">运维费用</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4、不得妨碍乙方正常的</w:t>
      </w:r>
      <w:r>
        <w:rPr>
          <w:rFonts w:hint="eastAsia" w:ascii="宋体" w:hAnsi="宋体" w:cs="宋体"/>
          <w:color w:val="auto"/>
          <w:sz w:val="24"/>
          <w:szCs w:val="24"/>
          <w:highlight w:val="none"/>
          <w:lang w:eastAsia="zh-CN"/>
        </w:rPr>
        <w:t xml:space="preserve">运维</w:t>
      </w:r>
      <w:r>
        <w:rPr>
          <w:rFonts w:hint="eastAsia" w:ascii="宋体" w:hAnsi="宋体" w:eastAsia="宋体" w:cs="宋体"/>
          <w:color w:val="auto"/>
          <w:sz w:val="24"/>
          <w:szCs w:val="24"/>
          <w:highlight w:val="none"/>
        </w:rPr>
        <w:t xml:space="preserve">管理工作，不得进行数据造假或偷排的行为。</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5、甲方应为项目的</w:t>
      </w:r>
      <w:r>
        <w:rPr>
          <w:rFonts w:hint="eastAsia" w:ascii="宋体" w:hAnsi="宋体" w:cs="宋体"/>
          <w:color w:val="auto"/>
          <w:sz w:val="24"/>
          <w:szCs w:val="24"/>
          <w:highlight w:val="none"/>
          <w:lang w:eastAsia="zh-CN"/>
        </w:rPr>
        <w:t xml:space="preserve">运维</w:t>
      </w:r>
      <w:r>
        <w:rPr>
          <w:rFonts w:hint="eastAsia" w:ascii="宋体" w:hAnsi="宋体" w:eastAsia="宋体" w:cs="宋体"/>
          <w:color w:val="auto"/>
          <w:sz w:val="24"/>
          <w:szCs w:val="24"/>
          <w:highlight w:val="none"/>
        </w:rPr>
        <w:t xml:space="preserve">提供安全稳定的</w:t>
      </w:r>
      <w:r>
        <w:rPr>
          <w:rFonts w:hint="eastAsia" w:ascii="宋体" w:hAnsi="宋体" w:cs="宋体"/>
          <w:color w:val="auto"/>
          <w:sz w:val="24"/>
          <w:szCs w:val="24"/>
          <w:highlight w:val="none"/>
          <w:lang w:eastAsia="zh-CN"/>
        </w:rPr>
        <w:t xml:space="preserve">运维</w:t>
      </w:r>
      <w:r>
        <w:rPr>
          <w:rFonts w:hint="eastAsia" w:ascii="宋体" w:hAnsi="宋体" w:eastAsia="宋体" w:cs="宋体"/>
          <w:color w:val="auto"/>
          <w:sz w:val="24"/>
          <w:szCs w:val="24"/>
          <w:highlight w:val="none"/>
        </w:rPr>
        <w:t xml:space="preserve">条件，并确保乙方</w:t>
      </w:r>
      <w:r>
        <w:rPr>
          <w:rFonts w:hint="eastAsia" w:ascii="宋体" w:hAnsi="宋体" w:cs="宋体"/>
          <w:color w:val="auto"/>
          <w:sz w:val="24"/>
          <w:szCs w:val="24"/>
          <w:highlight w:val="none"/>
          <w:lang w:eastAsia="zh-CN"/>
        </w:rPr>
        <w:t xml:space="preserve">运维</w:t>
      </w:r>
      <w:r>
        <w:rPr>
          <w:rFonts w:hint="eastAsia" w:ascii="宋体" w:hAnsi="宋体" w:eastAsia="宋体" w:cs="宋体"/>
          <w:color w:val="auto"/>
          <w:sz w:val="24"/>
          <w:szCs w:val="24"/>
          <w:highlight w:val="none"/>
        </w:rPr>
        <w:t xml:space="preserve">人员的人身财产安全不受侵犯。</w:t>
      </w:r>
      <w:r/>
    </w:p>
    <w:p>
      <w:pPr>
        <w:ind w:firstLine="482"/>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第六条  乙方责任</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1、负责建立设备</w:t>
      </w:r>
      <w:r>
        <w:rPr>
          <w:rFonts w:hint="eastAsia" w:ascii="宋体" w:hAnsi="宋体" w:cs="宋体"/>
          <w:color w:val="auto"/>
          <w:sz w:val="24"/>
          <w:szCs w:val="24"/>
          <w:highlight w:val="none"/>
          <w:lang w:eastAsia="zh-CN"/>
        </w:rPr>
        <w:t xml:space="preserve">运维</w:t>
      </w:r>
      <w:r>
        <w:rPr>
          <w:rFonts w:hint="eastAsia" w:ascii="宋体" w:hAnsi="宋体" w:eastAsia="宋体" w:cs="宋体"/>
          <w:color w:val="auto"/>
          <w:sz w:val="24"/>
          <w:szCs w:val="24"/>
          <w:highlight w:val="none"/>
        </w:rPr>
        <w:t xml:space="preserve">管理制度，建立完善的岗位职责、设备维护维修规程等。</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2、负责建立齐全的设备档案，建立设备日常巡检维护、维修、校准校验、备品备件、耗材更换记录等技术资料。</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3、负责设备的日常保养、维护、校验、检修，并接受运维管理考核。</w:t>
      </w:r>
      <w:r/>
    </w:p>
    <w:p>
      <w:pPr>
        <w:ind w:firstLine="480"/>
        <w:jc w:val="both"/>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4、按甲方要求，</w:t>
      </w:r>
      <w:r>
        <w:rPr>
          <w:rFonts w:hint="eastAsia" w:ascii="宋体" w:hAnsi="宋体" w:cs="宋体"/>
          <w:color w:val="auto"/>
          <w:sz w:val="24"/>
          <w:szCs w:val="24"/>
          <w:highlight w:val="none"/>
          <w:lang w:val="en-US" w:eastAsia="zh-CN"/>
        </w:rPr>
        <w:t xml:space="preserve">及投标文件中相关承诺，</w:t>
      </w:r>
      <w:r>
        <w:rPr>
          <w:rFonts w:hint="eastAsia" w:ascii="宋体" w:hAnsi="宋体" w:eastAsia="宋体" w:cs="宋体"/>
          <w:color w:val="auto"/>
          <w:sz w:val="24"/>
          <w:szCs w:val="24"/>
          <w:highlight w:val="none"/>
        </w:rPr>
        <w:t xml:space="preserve">完成所有运维工作。</w:t>
      </w:r>
      <w:r/>
    </w:p>
    <w:p>
      <w:pPr>
        <w:ind w:firstLine="480"/>
        <w:jc w:val="both"/>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须</w:t>
      </w:r>
      <w:r>
        <w:rPr>
          <w:rFonts w:hint="eastAsia" w:ascii="宋体" w:hAnsi="宋体" w:cs="宋体"/>
          <w:color w:val="auto"/>
          <w:sz w:val="24"/>
          <w:szCs w:val="24"/>
          <w:highlight w:val="none"/>
          <w:lang w:eastAsia="zh-CN"/>
        </w:rPr>
        <w:t xml:space="preserve">在项目所在镇区设有办事地点</w:t>
      </w:r>
      <w:r>
        <w:rPr>
          <w:rFonts w:hint="eastAsia" w:ascii="宋体" w:hAnsi="宋体" w:eastAsia="宋体" w:cs="宋体"/>
          <w:color w:val="auto"/>
          <w:sz w:val="24"/>
          <w:szCs w:val="24"/>
          <w:highlight w:val="none"/>
        </w:rPr>
        <w:t xml:space="preserve">和负压设备耗材仓库且至少常驻2个专业负压运维人员，否则甲方有权终止合同。</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履行法律义务，坚决抵制数据弄虚作假行为。</w:t>
      </w:r>
      <w:r/>
    </w:p>
    <w:p>
      <w:pPr>
        <w:ind w:firstLine="482"/>
        <w:jc w:val="both"/>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b/>
          <w:bCs/>
          <w:color w:val="auto"/>
          <w:sz w:val="24"/>
          <w:szCs w:val="24"/>
          <w:highlight w:val="none"/>
        </w:rPr>
        <w:t xml:space="preserve">第七条  </w:t>
      </w:r>
      <w:r>
        <w:rPr>
          <w:rFonts w:hint="eastAsia" w:ascii="宋体" w:hAnsi="宋体" w:cs="宋体"/>
          <w:b/>
          <w:bCs/>
          <w:color w:val="auto"/>
          <w:sz w:val="24"/>
          <w:szCs w:val="24"/>
          <w:highlight w:val="none"/>
          <w:lang w:val="en-US" w:eastAsia="zh-CN"/>
        </w:rPr>
        <w:t xml:space="preserve">运维服务清单</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运维服务清单</w:t>
      </w:r>
      <w:r>
        <w:rPr>
          <w:rFonts w:hint="eastAsia" w:ascii="宋体" w:hAnsi="宋体" w:eastAsia="宋体" w:cs="宋体"/>
          <w:color w:val="auto"/>
          <w:sz w:val="24"/>
          <w:szCs w:val="24"/>
          <w:highlight w:val="none"/>
        </w:rPr>
        <w:t xml:space="preserve">详见</w:t>
      </w:r>
      <w:r>
        <w:rPr>
          <w:rFonts w:hint="eastAsia" w:ascii="宋体" w:hAnsi="宋体" w:cs="宋体"/>
          <w:color w:val="auto"/>
          <w:sz w:val="24"/>
          <w:szCs w:val="24"/>
          <w:highlight w:val="none"/>
          <w:lang w:val="en-US" w:eastAsia="zh-CN"/>
        </w:rPr>
        <w:t xml:space="preserve">附件1</w:t>
      </w:r>
      <w:r>
        <w:rPr>
          <w:rFonts w:hint="eastAsia" w:ascii="宋体" w:hAnsi="宋体" w:eastAsia="宋体" w:cs="宋体"/>
          <w:color w:val="auto"/>
          <w:sz w:val="24"/>
          <w:szCs w:val="24"/>
          <w:highlight w:val="none"/>
        </w:rPr>
        <w:t xml:space="preserve">。</w:t>
      </w:r>
      <w:r/>
    </w:p>
    <w:p>
      <w:pPr>
        <w:ind w:firstLine="482"/>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第八条  考核办法</w:t>
      </w:r>
      <w:r/>
    </w:p>
    <w:p>
      <w:pPr>
        <w:ind w:firstLine="480"/>
        <w:jc w:val="both"/>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考核方式：服务考核采用季度考评（日常检查、定期、监督检查）、年终考评考核方式，考核结果分优良、合格、不合格三个档次。季度考评（日常检查、定期、监督检查）、年终考评由采购人组织实施或委托第三方开展。</w:t>
      </w:r>
      <w:r/>
    </w:p>
    <w:p>
      <w:pPr>
        <w:ind w:firstLine="480"/>
        <w:jc w:val="both"/>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具体考核办法和标准：</w:t>
      </w:r>
      <w:r/>
    </w:p>
    <w:p>
      <w:pPr>
        <w:ind w:firstLine="480"/>
        <w:jc w:val="both"/>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2.1 考核共分三个档次，其中：合计分＜80，不合格；80≤合计分＜90，合格；合计分≥90，优良。</w:t>
      </w:r>
      <w:r/>
    </w:p>
    <w:p>
      <w:pPr>
        <w:ind w:firstLine="480"/>
        <w:jc w:val="both"/>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2.2 当</w:t>
      </w:r>
      <w:r>
        <w:rPr>
          <w:rFonts w:hint="eastAsia" w:ascii="宋体" w:hAnsi="宋体" w:cs="宋体"/>
          <w:b w:val="0"/>
          <w:bCs w:val="0"/>
          <w:color w:val="auto"/>
          <w:sz w:val="24"/>
          <w:szCs w:val="24"/>
          <w:highlight w:val="none"/>
          <w:lang w:eastAsia="zh-CN"/>
        </w:rPr>
        <w:t xml:space="preserve">季</w:t>
      </w:r>
      <w:r>
        <w:rPr>
          <w:rFonts w:hint="eastAsia" w:ascii="宋体" w:hAnsi="宋体" w:eastAsia="宋体" w:cs="宋体"/>
          <w:b w:val="0"/>
          <w:bCs w:val="0"/>
          <w:color w:val="auto"/>
          <w:sz w:val="24"/>
          <w:szCs w:val="24"/>
          <w:highlight w:val="none"/>
        </w:rPr>
        <w:t xml:space="preserve">综合考核分数在</w:t>
      </w:r>
      <w:r>
        <w:rPr>
          <w:rFonts w:hint="eastAsia" w:ascii="宋体" w:hAnsi="宋体" w:cs="宋体"/>
          <w:b w:val="0"/>
          <w:bCs w:val="0"/>
          <w:color w:val="auto"/>
          <w:sz w:val="24"/>
          <w:szCs w:val="24"/>
          <w:highlight w:val="none"/>
          <w:lang w:val="en-US" w:eastAsia="zh-CN"/>
        </w:rPr>
        <w:t xml:space="preserve">90</w:t>
      </w:r>
      <w:r>
        <w:rPr>
          <w:rFonts w:hint="eastAsia" w:ascii="宋体" w:hAnsi="宋体" w:eastAsia="宋体" w:cs="宋体"/>
          <w:b w:val="0"/>
          <w:bCs w:val="0"/>
          <w:color w:val="auto"/>
          <w:sz w:val="24"/>
          <w:szCs w:val="24"/>
          <w:highlight w:val="none"/>
        </w:rPr>
        <w:t xml:space="preserve">分（含</w:t>
      </w:r>
      <w:r>
        <w:rPr>
          <w:rFonts w:hint="eastAsia" w:ascii="宋体" w:hAnsi="宋体" w:cs="宋体"/>
          <w:b w:val="0"/>
          <w:bCs w:val="0"/>
          <w:color w:val="auto"/>
          <w:sz w:val="24"/>
          <w:szCs w:val="24"/>
          <w:highlight w:val="none"/>
          <w:lang w:val="en-US" w:eastAsia="zh-CN"/>
        </w:rPr>
        <w:t xml:space="preserve">90</w:t>
      </w:r>
      <w:r>
        <w:rPr>
          <w:rFonts w:hint="eastAsia" w:ascii="宋体" w:hAnsi="宋体" w:eastAsia="宋体" w:cs="宋体"/>
          <w:b w:val="0"/>
          <w:bCs w:val="0"/>
          <w:color w:val="auto"/>
          <w:sz w:val="24"/>
          <w:szCs w:val="24"/>
          <w:highlight w:val="none"/>
        </w:rPr>
        <w:t xml:space="preserve">分）-100分，采购人将全额支付成交供应商当</w:t>
      </w:r>
      <w:r>
        <w:rPr>
          <w:rFonts w:hint="eastAsia" w:ascii="宋体" w:hAnsi="宋体" w:cs="宋体"/>
          <w:b w:val="0"/>
          <w:bCs w:val="0"/>
          <w:color w:val="auto"/>
          <w:sz w:val="24"/>
          <w:szCs w:val="24"/>
          <w:highlight w:val="none"/>
          <w:lang w:eastAsia="zh-CN"/>
        </w:rPr>
        <w:t xml:space="preserve">季</w:t>
      </w:r>
      <w:r>
        <w:rPr>
          <w:rFonts w:hint="eastAsia" w:ascii="宋体" w:hAnsi="宋体" w:eastAsia="宋体" w:cs="宋体"/>
          <w:b w:val="0"/>
          <w:bCs w:val="0"/>
          <w:color w:val="auto"/>
          <w:sz w:val="24"/>
          <w:szCs w:val="24"/>
          <w:highlight w:val="none"/>
        </w:rPr>
        <w:t xml:space="preserve">运维服务费。</w:t>
      </w:r>
      <w:r/>
    </w:p>
    <w:p>
      <w:pPr>
        <w:ind w:firstLine="480"/>
        <w:jc w:val="both"/>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2.3 当季综合考核分数低于</w:t>
      </w:r>
      <w:r>
        <w:rPr>
          <w:rFonts w:hint="eastAsia" w:ascii="宋体" w:hAnsi="宋体" w:cs="宋体"/>
          <w:b w:val="0"/>
          <w:bCs w:val="0"/>
          <w:color w:val="auto"/>
          <w:sz w:val="24"/>
          <w:szCs w:val="24"/>
          <w:highlight w:val="none"/>
          <w:lang w:val="en-US" w:eastAsia="zh-CN"/>
        </w:rPr>
        <w:t xml:space="preserve">90</w:t>
      </w:r>
      <w:r>
        <w:rPr>
          <w:rFonts w:hint="eastAsia" w:ascii="宋体" w:hAnsi="宋体" w:eastAsia="宋体" w:cs="宋体"/>
          <w:b w:val="0"/>
          <w:bCs w:val="0"/>
          <w:color w:val="auto"/>
          <w:sz w:val="24"/>
          <w:szCs w:val="24"/>
          <w:highlight w:val="none"/>
        </w:rPr>
        <w:t xml:space="preserve">分的，扣罚当季应付成交供应商运维服务费的10%。</w:t>
      </w:r>
      <w:r/>
    </w:p>
    <w:p>
      <w:pPr>
        <w:ind w:firstLine="480"/>
        <w:jc w:val="both"/>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2.4 成交供应商在单个合同期内运维服务季度考核平均分数连续</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个季度不合格（低于</w:t>
      </w:r>
      <w:r>
        <w:rPr>
          <w:rFonts w:hint="eastAsia" w:ascii="宋体" w:hAnsi="宋体" w:cs="宋体"/>
          <w:b w:val="0"/>
          <w:bCs w:val="0"/>
          <w:color w:val="auto"/>
          <w:sz w:val="24"/>
          <w:szCs w:val="24"/>
          <w:highlight w:val="none"/>
          <w:lang w:val="en-US" w:eastAsia="zh-CN"/>
        </w:rPr>
        <w:t xml:space="preserve">80</w:t>
      </w:r>
      <w:r>
        <w:rPr>
          <w:rFonts w:hint="eastAsia" w:ascii="宋体" w:hAnsi="宋体" w:eastAsia="宋体" w:cs="宋体"/>
          <w:b w:val="0"/>
          <w:bCs w:val="0"/>
          <w:color w:val="auto"/>
          <w:sz w:val="24"/>
          <w:szCs w:val="24"/>
          <w:highlight w:val="none"/>
        </w:rPr>
        <w:t xml:space="preserve">分，不含</w:t>
      </w:r>
      <w:r>
        <w:rPr>
          <w:rFonts w:hint="eastAsia" w:ascii="宋体" w:hAnsi="宋体" w:cs="宋体"/>
          <w:b w:val="0"/>
          <w:bCs w:val="0"/>
          <w:color w:val="auto"/>
          <w:sz w:val="24"/>
          <w:szCs w:val="24"/>
          <w:highlight w:val="none"/>
          <w:lang w:val="en-US" w:eastAsia="zh-CN"/>
        </w:rPr>
        <w:t xml:space="preserve">80</w:t>
      </w:r>
      <w:r>
        <w:rPr>
          <w:rFonts w:hint="eastAsia" w:ascii="宋体" w:hAnsi="宋体" w:eastAsia="宋体" w:cs="宋体"/>
          <w:b w:val="0"/>
          <w:bCs w:val="0"/>
          <w:color w:val="auto"/>
          <w:sz w:val="24"/>
          <w:szCs w:val="24"/>
          <w:highlight w:val="none"/>
        </w:rPr>
        <w:t xml:space="preserve">）的，采购人有权对被考核单位提出警告。</w:t>
      </w:r>
      <w:r/>
    </w:p>
    <w:p>
      <w:pPr>
        <w:ind w:firstLine="480"/>
        <w:jc w:val="both"/>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2.5 成交供应商单个合同期内运维服务连续3个季度考核平均分数不合格（低于</w:t>
      </w:r>
      <w:r>
        <w:rPr>
          <w:rFonts w:hint="eastAsia" w:ascii="宋体" w:hAnsi="宋体" w:cs="宋体"/>
          <w:b w:val="0"/>
          <w:bCs w:val="0"/>
          <w:color w:val="auto"/>
          <w:sz w:val="24"/>
          <w:szCs w:val="24"/>
          <w:highlight w:val="none"/>
          <w:lang w:val="en-US" w:eastAsia="zh-CN"/>
        </w:rPr>
        <w:t xml:space="preserve">80</w:t>
      </w:r>
      <w:r>
        <w:rPr>
          <w:rFonts w:hint="eastAsia" w:ascii="宋体" w:hAnsi="宋体" w:eastAsia="宋体" w:cs="宋体"/>
          <w:b w:val="0"/>
          <w:bCs w:val="0"/>
          <w:color w:val="auto"/>
          <w:sz w:val="24"/>
          <w:szCs w:val="24"/>
          <w:highlight w:val="none"/>
        </w:rPr>
        <w:t xml:space="preserve">分，不含</w:t>
      </w:r>
      <w:r>
        <w:rPr>
          <w:rFonts w:hint="eastAsia" w:ascii="宋体" w:hAnsi="宋体" w:cs="宋体"/>
          <w:b w:val="0"/>
          <w:bCs w:val="0"/>
          <w:color w:val="auto"/>
          <w:sz w:val="24"/>
          <w:szCs w:val="24"/>
          <w:highlight w:val="none"/>
          <w:lang w:val="en-US" w:eastAsia="zh-CN"/>
        </w:rPr>
        <w:t xml:space="preserve">80</w:t>
      </w:r>
      <w:r>
        <w:rPr>
          <w:rFonts w:hint="eastAsia" w:ascii="宋体" w:hAnsi="宋体" w:eastAsia="宋体" w:cs="宋体"/>
          <w:b w:val="0"/>
          <w:bCs w:val="0"/>
          <w:color w:val="auto"/>
          <w:sz w:val="24"/>
          <w:szCs w:val="24"/>
          <w:highlight w:val="none"/>
        </w:rPr>
        <w:t xml:space="preserve">分），采购人有权直接解除合同，并扣除当季全额运维服务费。解除合同的后果由成交供应商承担。</w:t>
      </w:r>
      <w:r/>
    </w:p>
    <w:p>
      <w:pPr>
        <w:ind w:firstLine="480"/>
        <w:jc w:val="both"/>
        <w:pageBreakBefore w:val="0"/>
        <w:spacing w:line="360" w:lineRule="auto"/>
        <w:widowControl w:val="off"/>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rPr>
        <w:t xml:space="preserve">2.6 考核办法及标准分值：从季度考评（日常检查、定期、监督检查）、年终考评</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个方面采用百分制进行综合考评。</w:t>
      </w:r>
      <w:r>
        <w:rPr>
          <w:rFonts w:hint="eastAsia" w:ascii="宋体" w:hAnsi="宋体" w:cs="宋体"/>
          <w:b w:val="0"/>
          <w:bCs w:val="0"/>
          <w:color w:val="auto"/>
          <w:sz w:val="24"/>
          <w:szCs w:val="24"/>
          <w:highlight w:val="none"/>
          <w:lang w:val="en-US" w:eastAsia="zh-CN"/>
        </w:rPr>
        <w:t xml:space="preserve">考核细则详见附件2、附件3。</w:t>
      </w:r>
      <w:r/>
    </w:p>
    <w:p>
      <w:pPr>
        <w:ind w:firstLine="482"/>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第九条  不可抗力</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1、本合同所称不可抗力，是指地震、台风、水灾、火灾、雷击、战争以及其它本合同各方不能预见，并且对其发生和后果不能防止或不能避免且不可克服的客观情况。</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2、本合同任何一方因不可抗力不能履行或不能完全履行本合同的义务时，应在不可抗力发生之日起七日内书面通知对方，并在不可抗力发生之日起十五日内向对方提供由有关部门出具的不可抗力证明。</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3、因不可抗力不能履行合同的，根据不可抗力的影响，双方可结合实际情况就不可抗力导致后果的责任承担事宜进行沟通并提出解决方案。一方迟延履行合同后发生不可抗力的，不能免除责任。</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4、如果因不可抗力的影响致使本合同中止履行七日或以上时，甲方和乙方共同决定是否继续履行或终止本合同。</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5、由于不可抗力事件不能全部或部分履行合同义务时，任一方可中止履行其在本合同项下的义务。</w:t>
      </w:r>
      <w:r/>
    </w:p>
    <w:p>
      <w:pPr>
        <w:ind w:firstLine="482"/>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条  保密</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以下情况外，甲乙双方对获取的有关本合同和工程的所有资料和文件，必须予以保密并采取相应的保密措施，保密期至本合同期满或终止后十年：</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1、属于本合同的保密信息，但已为公众所知悉或可经一般合法途径获取的信息。</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2、按照适用法律要求披露的信息。</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3、为履行一方在本合同项下义务且经对方书面同意而披露的信息。</w:t>
      </w:r>
      <w:r/>
    </w:p>
    <w:p>
      <w:pPr>
        <w:ind w:firstLine="482"/>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条  违约责任</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1、若</w:t>
      </w:r>
      <w:r>
        <w:rPr>
          <w:rFonts w:hint="eastAsia" w:ascii="宋体" w:hAnsi="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方违反本合同条款约定，经</w:t>
      </w:r>
      <w:r>
        <w:rPr>
          <w:rFonts w:hint="eastAsia" w:ascii="宋体" w:hAnsi="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方书面通知后，</w:t>
      </w:r>
      <w:r>
        <w:rPr>
          <w:rFonts w:hint="eastAsia" w:ascii="宋体" w:hAnsi="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方未在约定期限内整改，或者经过多次整改均不能达到合同要求条件，</w:t>
      </w:r>
      <w:r>
        <w:rPr>
          <w:rFonts w:hint="eastAsia" w:ascii="宋体" w:hAnsi="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方有权单方终止本合同，并就遭受的损失要求</w:t>
      </w:r>
      <w:r>
        <w:rPr>
          <w:rFonts w:hint="eastAsia" w:ascii="宋体" w:hAnsi="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方承担赔偿责任。</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3、若因</w:t>
      </w:r>
      <w:r>
        <w:rPr>
          <w:rFonts w:hint="eastAsia" w:ascii="宋体" w:hAnsi="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方原因导致本合同无法继续履行的，</w:t>
      </w:r>
      <w:r>
        <w:rPr>
          <w:rFonts w:hint="eastAsia" w:ascii="宋体" w:hAnsi="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方有权解除本合同，并就由此遭受的经济损失要求</w:t>
      </w:r>
      <w:r>
        <w:rPr>
          <w:rFonts w:hint="eastAsia" w:ascii="宋体" w:hAnsi="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方承担赔偿责任。</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5、若因乙方原因未能保证数据的有效性，造成的上级部门的超标罚款，或由乙方原因造成上级交办或督办事项，由乙方负责任。同时扣除年合同价</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5%，如还未能整改到位，则加倍扣款。</w:t>
      </w:r>
      <w:r/>
    </w:p>
    <w:p>
      <w:pPr>
        <w:ind w:firstLine="482"/>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条  合同变更</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本合同条款及合同附件如有变更，须由甲乙双方就变更条款签订补充协议，未变更条款照原合同执行；补充协议与本合同具有同等法律效力。</w:t>
      </w:r>
      <w:r/>
    </w:p>
    <w:p>
      <w:pPr>
        <w:ind w:firstLine="482"/>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条  合同终止</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1、因不可抗力导致合同无法履行。</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2、甲乙双方协商解除合同。</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3、本合同约定运维期限届满且双方履行完成合同义务，合同自行终止。</w:t>
      </w:r>
      <w:r/>
    </w:p>
    <w:p>
      <w:pPr>
        <w:ind w:firstLine="480"/>
        <w:jc w:val="both"/>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4、因上级部门统一调整，且合同自行终止。</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因上述原因导致合同终止的，甲乙双方应根据合同终止时的合同履行现状结算相关费用。</w:t>
      </w:r>
      <w:r/>
    </w:p>
    <w:p>
      <w:pPr>
        <w:ind w:firstLine="482"/>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条  未尽事宜及争议解决</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1、未尽事宜遵照相关法律法规或双方协商解决。</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2、因履行本合同引起的或与本合同相关的一切争议，甲乙双方应遵照相关法律或协商解决；协商不成的，本合同任意一方应向合同签订地的人民法院提起诉讼。</w:t>
      </w:r>
      <w:r/>
    </w:p>
    <w:p>
      <w:pPr>
        <w:ind w:firstLine="482"/>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条  通知方式</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1、本合同任何一方向对方发出本合同约定的任何通知，均应采用书面方式送达对方。</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2、在合同有效期内，任何一方的联系方式发生变更的，应当提前5日通过上述方式书面通知对方，否则因此产生的一切不利后果自行承担。</w:t>
      </w:r>
      <w:r/>
    </w:p>
    <w:p>
      <w:pPr>
        <w:ind w:firstLine="482"/>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条  其他</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1、本合同自甲乙双方签字盖章之日起生效，附件为本合同不可分割的一部分，与本合同具有同等法律效力。</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2、本合同一式肆份，甲乙双方各执贰份。</w:t>
      </w:r>
      <w:r/>
    </w:p>
    <w:p>
      <w:pPr>
        <w:ind w:firstLine="480"/>
        <w:jc w:val="both"/>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r>
      <w:r/>
    </w:p>
    <w:p>
      <w:pPr>
        <w:ind w:firstLine="480"/>
        <w:jc w:val="both"/>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附件1：运维服务清单（供应商响应文件中投标分项报价表，自行附后）</w:t>
      </w:r>
      <w:r/>
    </w:p>
    <w:p>
      <w:pPr>
        <w:ind w:firstLine="480"/>
        <w:jc w:val="both"/>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附件2：季度考核办法</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附件3：</w:t>
      </w:r>
      <w:r>
        <w:rPr>
          <w:rFonts w:hint="eastAsia" w:ascii="宋体" w:hAnsi="宋体" w:eastAsia="宋体" w:cs="宋体"/>
          <w:color w:val="auto"/>
          <w:sz w:val="24"/>
          <w:szCs w:val="24"/>
          <w:highlight w:val="none"/>
          <w:lang w:val="en-US" w:eastAsia="zh-CN"/>
        </w:rPr>
        <w:t xml:space="preserve">年度考核办法</w:t>
      </w:r>
      <w:r/>
    </w:p>
    <w:p>
      <w:pPr>
        <w:ind w:firstLine="480"/>
        <w:jc w:val="both"/>
        <w:pageBreakBefore w:val="0"/>
        <w:spacing w:line="360" w:lineRule="auto"/>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附件4：政府采购履约验收书参考样本(服务类)</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甲方（签章）：                            乙方（签章）：</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法人代表/授权代理人（签字）：              法人代表/授权代理人（签字）：     </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jc w:val="both"/>
        <w:pageBreakBefore w:val="0"/>
        <w:spacing w:line="360" w:lineRule="auto"/>
        <w:widowControl w:val="off"/>
        <w:rPr>
          <w:rFonts w:hint="eastAsia" w:ascii="宋体" w:hAnsi="宋体" w:cs="宋体"/>
          <w:color w:val="auto"/>
          <w:sz w:val="24"/>
          <w:highlight w:val="none"/>
        </w:rPr>
        <w:outlineLvl w:val="9"/>
      </w:pPr>
      <w:r>
        <w:rPr>
          <w:rFonts w:hint="eastAsia" w:ascii="宋体" w:hAnsi="宋体" w:eastAsia="宋体" w:cs="宋体"/>
          <w:color w:val="auto"/>
          <w:sz w:val="24"/>
          <w:szCs w:val="24"/>
          <w:highlight w:val="none"/>
        </w:rPr>
        <w:t xml:space="preserve">签约日期：   </w:t>
      </w:r>
      <w:r>
        <w:rPr>
          <w:rFonts w:hint="eastAsia"/>
          <w:color w:val="auto"/>
          <w:sz w:val="24"/>
          <w:highlight w:val="none"/>
        </w:rPr>
        <w:t xml:space="preserve">年     月    日              签约日期：   年     月    日</w:t>
      </w:r>
      <w:r/>
    </w:p>
    <w:p>
      <w:pPr>
        <w:ind w:firstLine="420"/>
        <w:spacing w:line="360" w:lineRule="auto"/>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r>
      <w:r/>
    </w:p>
    <w:p>
      <w:pPr>
        <w:ind w:firstLine="420"/>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采购</w:t>
      </w:r>
      <w:r>
        <w:rPr>
          <w:rFonts w:hint="eastAsia" w:ascii="宋体" w:hAnsi="宋体"/>
          <w:b/>
          <w:color w:val="auto"/>
          <w:sz w:val="24"/>
          <w:highlight w:val="none"/>
        </w:rPr>
        <w:t xml:space="preserve">人保留对本合同修改的权力</w:t>
      </w:r>
      <w:r/>
    </w:p>
    <w:p>
      <w:pPr>
        <w:pStyle w:val="666"/>
        <w:rPr>
          <w:rFonts w:hint="eastAsia" w:ascii="宋体" w:hAnsi="宋体"/>
          <w:b/>
          <w:color w:val="auto"/>
          <w:sz w:val="24"/>
          <w:highlight w:val="none"/>
        </w:rPr>
      </w:pPr>
      <w:r>
        <w:rPr>
          <w:rFonts w:hint="eastAsia" w:ascii="宋体" w:hAnsi="宋体"/>
          <w:b/>
          <w:color w:val="auto"/>
          <w:sz w:val="24"/>
          <w:highlight w:val="none"/>
        </w:rPr>
      </w:r>
      <w:r/>
    </w:p>
    <w:p>
      <w:pPr>
        <w:rPr>
          <w:color w:val="auto"/>
          <w:highlight w:val="none"/>
        </w:rPr>
      </w:pPr>
      <w:r>
        <w:rPr>
          <w:color w:val="auto"/>
          <w:highlight w:val="none"/>
        </w:rPr>
        <w:br w:type="page" w:clear="all"/>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附件</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季</w:t>
      </w:r>
      <w:r>
        <w:rPr>
          <w:rFonts w:hint="eastAsia" w:ascii="宋体" w:hAnsi="宋体" w:eastAsia="宋体" w:cs="宋体"/>
          <w:b w:val="0"/>
          <w:bCs w:val="0"/>
          <w:color w:val="auto"/>
          <w:sz w:val="24"/>
          <w:szCs w:val="24"/>
          <w:highlight w:val="none"/>
          <w:lang w:val="en-US" w:eastAsia="zh-CN"/>
        </w:rPr>
        <w:t xml:space="preserve">度考核办法（</w:t>
      </w:r>
      <w:r>
        <w:rPr>
          <w:rFonts w:hint="eastAsia" w:ascii="宋体" w:hAnsi="宋体" w:eastAsia="宋体" w:cs="宋体"/>
          <w:color w:val="auto"/>
          <w:sz w:val="24"/>
          <w:szCs w:val="24"/>
          <w:highlight w:val="none"/>
          <w:lang w:val="en-US" w:eastAsia="zh-CN"/>
        </w:rPr>
        <w:t xml:space="preserve">权重</w:t>
      </w:r>
      <w:r>
        <w:rPr>
          <w:rFonts w:hint="eastAsia" w:ascii="宋体" w:hAnsi="宋体" w:eastAsia="宋体" w:cs="宋体"/>
          <w:b w:val="0"/>
          <w:bCs w:val="0"/>
          <w:color w:val="auto"/>
          <w:sz w:val="24"/>
          <w:szCs w:val="24"/>
          <w:highlight w:val="none"/>
          <w:lang w:val="en-US" w:eastAsia="zh-CN"/>
        </w:rPr>
        <w:t xml:space="preserve">50%）</w:t>
      </w:r>
      <w:r/>
    </w:p>
    <w:tbl>
      <w:tblPr>
        <w:tblStyle w:val="695"/>
        <w:tblW w:w="94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224"/>
        <w:gridCol w:w="2721"/>
        <w:gridCol w:w="709"/>
        <w:gridCol w:w="3969"/>
      </w:tblGrid>
      <w:tr>
        <w:trPr>
          <w:jc w:val="center"/>
          <w:tblHeader/>
        </w:trPr>
        <w:tc>
          <w:tcPr>
            <w:tcW w:w="850" w:type="dxa"/>
            <w:vAlign w:val="center"/>
            <w:textDirection w:val="lrTb"/>
            <w:noWrap w:val="false"/>
          </w:tcPr>
          <w:p>
            <w:pPr>
              <w:jc w:val="center"/>
              <w:pageBreakBefore w:val="0"/>
              <w:spacing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序号</w:t>
            </w:r>
            <w:r/>
          </w:p>
        </w:tc>
        <w:tc>
          <w:tcPr>
            <w:tcW w:w="1224" w:type="dxa"/>
            <w:vAlign w:val="center"/>
            <w:textDirection w:val="lrTb"/>
            <w:noWrap w:val="false"/>
          </w:tcPr>
          <w:p>
            <w:pPr>
              <w:jc w:val="center"/>
              <w:pageBreakBefore w:val="0"/>
              <w:spacing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项目</w:t>
            </w:r>
            <w:r/>
          </w:p>
        </w:tc>
        <w:tc>
          <w:tcPr>
            <w:tcW w:w="2721" w:type="dxa"/>
            <w:vAlign w:val="center"/>
            <w:textDirection w:val="lrTb"/>
            <w:noWrap w:val="false"/>
          </w:tcPr>
          <w:p>
            <w:pPr>
              <w:jc w:val="center"/>
              <w:pageBreakBefore w:val="0"/>
              <w:spacing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考核内容及要求</w:t>
            </w:r>
            <w:r/>
          </w:p>
        </w:tc>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满分</w:t>
            </w:r>
            <w:r/>
          </w:p>
        </w:tc>
        <w:tc>
          <w:tcPr>
            <w:tcW w:w="3969" w:type="dxa"/>
            <w:vAlign w:val="center"/>
            <w:textDirection w:val="lrTb"/>
            <w:noWrap w:val="false"/>
          </w:tcPr>
          <w:p>
            <w:pPr>
              <w:jc w:val="center"/>
              <w:pageBreakBefore w:val="0"/>
              <w:spacing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扣分原则</w:t>
            </w:r>
            <w:r/>
          </w:p>
        </w:tc>
      </w:tr>
      <w:tr>
        <w:trPr>
          <w:jc w:val="center"/>
        </w:trPr>
        <w:tc>
          <w:tcPr>
            <w:tcW w:w="850"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p>
        </w:tc>
        <w:tc>
          <w:tcPr>
            <w:tcW w:w="1224"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管理考核</w:t>
            </w:r>
            <w:r/>
          </w:p>
        </w:tc>
        <w:tc>
          <w:tcPr>
            <w:tcW w:w="2721"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配合有关部门组织开展检查考核；及时整改检查考核发现的问题。</w:t>
            </w:r>
            <w:r/>
          </w:p>
        </w:tc>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TW"/>
              </w:rPr>
              <w:outlineLvl w:val="9"/>
            </w:pPr>
            <w:r>
              <w:rPr>
                <w:rFonts w:hint="eastAsia" w:ascii="宋体" w:hAnsi="宋体" w:eastAsia="宋体" w:cs="宋体"/>
                <w:color w:val="auto"/>
                <w:sz w:val="24"/>
                <w:szCs w:val="24"/>
                <w:highlight w:val="none"/>
                <w:lang w:val="en-US" w:eastAsia="zh-TW"/>
              </w:rPr>
              <w:t xml:space="preserve">5</w:t>
            </w:r>
            <w:r/>
          </w:p>
        </w:tc>
        <w:tc>
          <w:tcPr>
            <w:tcW w:w="3969"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未积极配合有关部门开展检查考核，扣 2 分；未及时整改检查考核发现的问题，扣 3 分。</w:t>
            </w:r>
            <w:r/>
          </w:p>
        </w:tc>
      </w:tr>
      <w:tr>
        <w:trPr>
          <w:jc w:val="center"/>
        </w:trPr>
        <w:tc>
          <w:tcPr>
            <w:tcW w:w="850"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w:t>
            </w:r>
            <w:r/>
          </w:p>
        </w:tc>
        <w:tc>
          <w:tcPr>
            <w:tcW w:w="1224"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日常检查</w:t>
            </w:r>
            <w:r/>
          </w:p>
        </w:tc>
        <w:tc>
          <w:tcPr>
            <w:tcW w:w="2721"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按规定开展日常巡视检查，并做好记录；及时处理上报检查中发现问题；配合有关部门组织开展检查。</w:t>
            </w:r>
            <w:r/>
          </w:p>
        </w:tc>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35</w:t>
            </w:r>
            <w:r/>
          </w:p>
        </w:tc>
        <w:tc>
          <w:tcPr>
            <w:tcW w:w="3969"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未开展日常巡视检查，此项不得分。日常巡视检查内容、频次、记录等不符合要求，每项扣 5 分；未及时处理上报检查中发现问题，扣 3 分；未积极配合有关部门组织开展检查，扣 2 分。</w:t>
            </w:r>
            <w:r/>
          </w:p>
        </w:tc>
      </w:tr>
      <w:tr>
        <w:trPr>
          <w:jc w:val="center"/>
        </w:trPr>
        <w:tc>
          <w:tcPr>
            <w:tcW w:w="850"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w:t>
            </w:r>
            <w:r/>
          </w:p>
        </w:tc>
        <w:tc>
          <w:tcPr>
            <w:tcW w:w="1224"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运营维护</w:t>
            </w:r>
            <w:r/>
          </w:p>
        </w:tc>
        <w:tc>
          <w:tcPr>
            <w:tcW w:w="2721"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按有关规定和标准开展日常运营维护，并做好记录。</w:t>
            </w:r>
            <w:r/>
          </w:p>
        </w:tc>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TW"/>
              </w:rPr>
              <w:outlineLvl w:val="9"/>
            </w:pPr>
            <w:r>
              <w:rPr>
                <w:rFonts w:hint="eastAsia" w:ascii="宋体" w:hAnsi="宋体" w:eastAsia="宋体" w:cs="宋体"/>
                <w:color w:val="auto"/>
                <w:sz w:val="24"/>
                <w:szCs w:val="24"/>
                <w:highlight w:val="none"/>
                <w:lang w:val="en-US" w:eastAsia="zh-TW"/>
              </w:rPr>
              <w:t xml:space="preserve">35</w:t>
            </w:r>
            <w:r/>
          </w:p>
        </w:tc>
        <w:tc>
          <w:tcPr>
            <w:tcW w:w="3969"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未开展日常运营维护，此项不得分。运营维护不符合要求，每个子项扣1 分；附属设施和管理区运营维护不符合要求，每个子项扣0.5；记录不符合要求，扣 3分。</w:t>
            </w:r>
            <w:r/>
          </w:p>
        </w:tc>
      </w:tr>
      <w:tr>
        <w:trPr>
          <w:jc w:val="center"/>
        </w:trPr>
        <w:tc>
          <w:tcPr>
            <w:tcW w:w="850"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w:t>
            </w:r>
            <w:r/>
          </w:p>
        </w:tc>
        <w:tc>
          <w:tcPr>
            <w:tcW w:w="1224"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运行操作</w:t>
            </w:r>
            <w:r/>
          </w:p>
        </w:tc>
        <w:tc>
          <w:tcPr>
            <w:tcW w:w="2721"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按操作规程和调度指令运行，无人为事故；记录规范。</w:t>
            </w:r>
            <w:r/>
          </w:p>
        </w:tc>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15</w:t>
            </w:r>
            <w:r/>
          </w:p>
        </w:tc>
        <w:tc>
          <w:tcPr>
            <w:tcW w:w="3969"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有人为事故且影响工程安全或设备正常使用，此项不得分。未按操作规程和调度指令运行，扣 5 分；有人为事故，未影响工程安全和设备正常使用，扣 3 分；记录不规范，扣2 分。</w:t>
            </w:r>
            <w:r/>
          </w:p>
        </w:tc>
      </w:tr>
      <w:tr>
        <w:trPr>
          <w:jc w:val="center"/>
        </w:trPr>
        <w:tc>
          <w:tcPr>
            <w:tcW w:w="850"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p>
        </w:tc>
        <w:tc>
          <w:tcPr>
            <w:tcW w:w="1224"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违章管理</w:t>
            </w:r>
            <w:r/>
          </w:p>
        </w:tc>
        <w:tc>
          <w:tcPr>
            <w:tcW w:w="2721"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及时阻止破坏和侵占工程、污染水环境以及其他可能影响人员、工程安全的行为，并报告。</w:t>
            </w:r>
            <w:r/>
          </w:p>
        </w:tc>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TW"/>
              </w:rPr>
              <w:outlineLvl w:val="9"/>
            </w:pPr>
            <w:r>
              <w:rPr>
                <w:rFonts w:hint="eastAsia" w:ascii="宋体" w:hAnsi="宋体" w:eastAsia="宋体" w:cs="宋体"/>
                <w:color w:val="auto"/>
                <w:sz w:val="24"/>
                <w:szCs w:val="24"/>
                <w:highlight w:val="none"/>
                <w:lang w:val="en-US" w:eastAsia="zh-TW"/>
              </w:rPr>
              <w:t xml:space="preserve">5</w:t>
            </w:r>
            <w:r/>
          </w:p>
        </w:tc>
        <w:tc>
          <w:tcPr>
            <w:tcW w:w="3969"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未及时阻止破坏和侵占工程、污染水环境以及其他可能影响人员、工程安全的行为，每起扣 1 分；发现违章行为未及时报告，扣 2 分。</w:t>
            </w:r>
            <w:r/>
          </w:p>
        </w:tc>
      </w:tr>
      <w:tr>
        <w:trPr>
          <w:jc w:val="center"/>
        </w:trPr>
        <w:tc>
          <w:tcPr>
            <w:tcW w:w="850"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TW"/>
              </w:rPr>
              <w:outlineLvl w:val="9"/>
            </w:pPr>
            <w:r>
              <w:rPr>
                <w:rFonts w:hint="eastAsia" w:ascii="宋体" w:hAnsi="宋体" w:eastAsia="宋体" w:cs="宋体"/>
                <w:color w:val="auto"/>
                <w:sz w:val="24"/>
                <w:szCs w:val="24"/>
                <w:highlight w:val="none"/>
                <w:lang w:val="en-US" w:eastAsia="zh-TW"/>
              </w:rPr>
              <w:t xml:space="preserve">6</w:t>
            </w:r>
            <w:r/>
          </w:p>
        </w:tc>
        <w:tc>
          <w:tcPr>
            <w:tcW w:w="1224"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安全隐患排查</w:t>
            </w:r>
            <w:r/>
          </w:p>
        </w:tc>
        <w:tc>
          <w:tcPr>
            <w:tcW w:w="2721"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经常开展安全隐患排查治理，发现隐患及时整改。</w:t>
            </w:r>
            <w:r/>
          </w:p>
        </w:tc>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p>
        </w:tc>
        <w:tc>
          <w:tcPr>
            <w:tcW w:w="3969"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存在安全隐患，1 项扣 1分。</w:t>
            </w:r>
            <w:r/>
          </w:p>
        </w:tc>
      </w:tr>
    </w:tbl>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br w:type="page" w:clear="all"/>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附件</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年度考核办法</w:t>
      </w:r>
      <w:r>
        <w:rPr>
          <w:rFonts w:hint="eastAsia" w:ascii="宋体" w:hAnsi="宋体" w:eastAsia="宋体" w:cs="宋体"/>
          <w:b w:val="0"/>
          <w:bCs w:val="0"/>
          <w:color w:val="auto"/>
          <w:sz w:val="24"/>
          <w:szCs w:val="24"/>
          <w:highlight w:val="none"/>
          <w:lang w:val="en-US" w:eastAsia="zh-CN"/>
        </w:rPr>
        <w:t xml:space="preserve">（权重 50%）</w:t>
      </w:r>
      <w:r/>
    </w:p>
    <w:tbl>
      <w:tblPr>
        <w:tblStyle w:val="695"/>
        <w:tblW w:w="9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225"/>
        <w:gridCol w:w="2721"/>
        <w:gridCol w:w="709"/>
        <w:gridCol w:w="3969"/>
      </w:tblGrid>
      <w:tr>
        <w:trPr>
          <w:jc w:val="center"/>
          <w:tblHeader/>
        </w:trPr>
        <w:tc>
          <w:tcPr>
            <w:tcW w:w="850" w:type="dxa"/>
            <w:vAlign w:val="center"/>
            <w:textDirection w:val="lrTb"/>
            <w:noWrap w:val="false"/>
          </w:tcPr>
          <w:p>
            <w:pPr>
              <w:jc w:val="center"/>
              <w:pageBreakBefore w:val="0"/>
              <w:spacing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序号</w:t>
            </w:r>
            <w:r/>
          </w:p>
        </w:tc>
        <w:tc>
          <w:tcPr>
            <w:tcW w:w="1225" w:type="dxa"/>
            <w:vAlign w:val="center"/>
            <w:textDirection w:val="lrTb"/>
            <w:noWrap w:val="false"/>
          </w:tcPr>
          <w:p>
            <w:pPr>
              <w:jc w:val="center"/>
              <w:pageBreakBefore w:val="0"/>
              <w:spacing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项目</w:t>
            </w:r>
            <w:r/>
          </w:p>
        </w:tc>
        <w:tc>
          <w:tcPr>
            <w:tcW w:w="2721" w:type="dxa"/>
            <w:vAlign w:val="center"/>
            <w:textDirection w:val="lrTb"/>
            <w:noWrap w:val="false"/>
          </w:tcPr>
          <w:p>
            <w:pPr>
              <w:jc w:val="center"/>
              <w:pageBreakBefore w:val="0"/>
              <w:spacing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考核内容及要求</w:t>
            </w:r>
            <w:r/>
          </w:p>
        </w:tc>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满分</w:t>
            </w:r>
            <w:r/>
          </w:p>
        </w:tc>
        <w:tc>
          <w:tcPr>
            <w:tcW w:w="3969" w:type="dxa"/>
            <w:vAlign w:val="center"/>
            <w:textDirection w:val="lrTb"/>
            <w:noWrap w:val="false"/>
          </w:tcPr>
          <w:p>
            <w:pPr>
              <w:jc w:val="center"/>
              <w:pageBreakBefore w:val="0"/>
              <w:spacing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扣分原则</w:t>
            </w:r>
            <w:r/>
          </w:p>
        </w:tc>
      </w:tr>
      <w:tr>
        <w:trPr>
          <w:jc w:val="center"/>
          <w:trHeight w:val="1606"/>
        </w:trPr>
        <w:tc>
          <w:tcPr>
            <w:tcW w:w="850"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p>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122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机构设置及人员配置</w:t>
            </w:r>
            <w:r/>
          </w:p>
        </w:tc>
        <w:tc>
          <w:tcPr>
            <w:tcW w:w="2721"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机构设置、岗位设置和人员配置满足要求；按规定组织技术负责人、巡查维护人员培训</w:t>
            </w:r>
            <w:r/>
          </w:p>
        </w:tc>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w:t>
            </w:r>
            <w:r/>
          </w:p>
        </w:tc>
        <w:tc>
          <w:tcPr>
            <w:tcW w:w="3969"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机构设置不满足要求，扣 2分；岗位设置不满足要求，扣2 分；人员配置不满足要求，扣 2 分；人员未持证上岗，扣2 分；未按规定组织技术负责人、巡查管护人员培训，扣 2分。</w:t>
            </w:r>
            <w:r/>
          </w:p>
        </w:tc>
      </w:tr>
      <w:tr>
        <w:trPr>
          <w:jc w:val="center"/>
          <w:trHeight w:val="2371"/>
        </w:trPr>
        <w:tc>
          <w:tcPr>
            <w:tcW w:w="850"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TW"/>
              </w:rPr>
              <w:outlineLvl w:val="9"/>
            </w:pPr>
            <w:r>
              <w:rPr>
                <w:rFonts w:hint="eastAsia" w:ascii="宋体" w:hAnsi="宋体" w:eastAsia="宋体" w:cs="宋体"/>
                <w:color w:val="auto"/>
                <w:sz w:val="24"/>
                <w:szCs w:val="24"/>
                <w:highlight w:val="none"/>
                <w:lang w:val="en-US" w:eastAsia="zh-TW"/>
              </w:rPr>
              <w:t xml:space="preserve">2</w:t>
            </w:r>
            <w:r/>
          </w:p>
        </w:tc>
        <w:tc>
          <w:tcPr>
            <w:tcW w:w="122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管理考核</w:t>
            </w:r>
            <w:r/>
          </w:p>
        </w:tc>
        <w:tc>
          <w:tcPr>
            <w:tcW w:w="2721"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配合有关部门组织开展检查考核；根据考</w:t>
            </w:r>
            <w:r/>
          </w:p>
        </w:tc>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p>
        </w:tc>
        <w:tc>
          <w:tcPr>
            <w:tcW w:w="3969"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未积极配合有关部门开展检查考核，扣 2 分；未开展年度自核标准开展年度自检，并未及时上报自检结果，扣 1 分；对自检、检查考核发现的问题未及时整改，扣2 分。</w:t>
            </w:r>
            <w:r/>
          </w:p>
        </w:tc>
      </w:tr>
      <w:tr>
        <w:trPr>
          <w:jc w:val="center"/>
          <w:trHeight w:val="1213"/>
        </w:trPr>
        <w:tc>
          <w:tcPr>
            <w:tcW w:w="850"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TW"/>
              </w:rPr>
              <w:outlineLvl w:val="9"/>
            </w:pPr>
            <w:r>
              <w:rPr>
                <w:rFonts w:hint="eastAsia" w:ascii="宋体" w:hAnsi="宋体" w:eastAsia="宋体" w:cs="宋体"/>
                <w:color w:val="auto"/>
                <w:sz w:val="24"/>
                <w:szCs w:val="24"/>
                <w:highlight w:val="none"/>
                <w:lang w:val="en-US" w:eastAsia="zh-TW"/>
              </w:rPr>
              <w:t xml:space="preserve">3</w:t>
            </w:r>
            <w:r/>
          </w:p>
        </w:tc>
        <w:tc>
          <w:tcPr>
            <w:tcW w:w="122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工程检查</w:t>
            </w:r>
            <w:r/>
          </w:p>
        </w:tc>
        <w:tc>
          <w:tcPr>
            <w:tcW w:w="2721"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按规定开展日常巡视检查，并做好记录；按规定开展年度检查，遇特殊情况应开展特别检查，及时提交检查报告；及时处理上报检查中发现问题；配合有关部门组织开展检查。</w:t>
            </w:r>
            <w:r/>
          </w:p>
        </w:tc>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30</w:t>
            </w:r>
            <w:r/>
          </w:p>
        </w:tc>
        <w:tc>
          <w:tcPr>
            <w:tcW w:w="3969"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未开展日常巡视检查，此项不得分。日常巡视检查内容、频次、线路、记录等不符合要求，每项扣 3 分；未按规定开展年度检查，扣 3 分；遇特殊情况，未按规定开展特别检查报告，扣2 分；未及时处理上报检查中发现问题，扣 2 分；未积极配合有关部门组织开展检查，扣1 分。</w:t>
            </w:r>
            <w:r/>
          </w:p>
        </w:tc>
      </w:tr>
      <w:tr>
        <w:trPr>
          <w:jc w:val="center"/>
          <w:trHeight w:val="2731"/>
        </w:trPr>
        <w:tc>
          <w:tcPr>
            <w:tcW w:w="850"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TW"/>
              </w:rPr>
              <w:outlineLvl w:val="9"/>
            </w:pPr>
            <w:r>
              <w:rPr>
                <w:rFonts w:hint="eastAsia" w:ascii="宋体" w:hAnsi="宋体" w:eastAsia="宋体" w:cs="宋体"/>
                <w:color w:val="auto"/>
                <w:sz w:val="24"/>
                <w:szCs w:val="24"/>
                <w:highlight w:val="none"/>
                <w:lang w:val="en-US" w:eastAsia="zh-TW"/>
              </w:rPr>
              <w:t xml:space="preserve">4</w:t>
            </w:r>
            <w:r/>
          </w:p>
        </w:tc>
        <w:tc>
          <w:tcPr>
            <w:tcW w:w="122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维修养护</w:t>
            </w:r>
            <w:r/>
          </w:p>
        </w:tc>
        <w:tc>
          <w:tcPr>
            <w:tcW w:w="2721"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按有关规定和标准开展日常养护，并做好记录。</w:t>
            </w:r>
            <w:r/>
          </w:p>
        </w:tc>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30</w:t>
            </w:r>
            <w:r/>
          </w:p>
        </w:tc>
        <w:tc>
          <w:tcPr>
            <w:tcW w:w="3969"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未开展日常养护，此项不得分。对照工程日常养护标准，不符合要求，每个子项扣 1 分；附属设施和管理区养护不符合要求，每个子项扣 0.5；记录不符合要求，扣 2 分。</w:t>
            </w:r>
            <w:r/>
          </w:p>
        </w:tc>
      </w:tr>
      <w:tr>
        <w:trPr>
          <w:jc w:val="center"/>
          <w:trHeight w:val="1970"/>
        </w:trPr>
        <w:tc>
          <w:tcPr>
            <w:tcW w:w="850"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TW"/>
              </w:rPr>
              <w:outlineLvl w:val="9"/>
            </w:pPr>
            <w:r>
              <w:rPr>
                <w:rFonts w:hint="eastAsia" w:ascii="宋体" w:hAnsi="宋体" w:eastAsia="宋体" w:cs="宋体"/>
                <w:color w:val="auto"/>
                <w:sz w:val="24"/>
                <w:szCs w:val="24"/>
                <w:highlight w:val="none"/>
                <w:lang w:val="en-US" w:eastAsia="zh-TW"/>
              </w:rPr>
              <w:t xml:space="preserve">5</w:t>
            </w:r>
            <w:r/>
          </w:p>
        </w:tc>
        <w:tc>
          <w:tcPr>
            <w:tcW w:w="122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运行操作</w:t>
            </w:r>
            <w:r/>
          </w:p>
        </w:tc>
        <w:tc>
          <w:tcPr>
            <w:tcW w:w="2721"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按操作规程和调度指令运行，无人为事故；记录规范。</w:t>
            </w:r>
            <w:r/>
          </w:p>
        </w:tc>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w:t>
            </w:r>
            <w:r/>
          </w:p>
        </w:tc>
        <w:tc>
          <w:tcPr>
            <w:tcW w:w="3969"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有人为事故且影响安全或设备正常使用，此项不得分。未按操作规程和调度指令运行，扣 5 分；有人为事故，未影响安全和设备正常使用，扣3 分；记录不规范，扣 2 分。</w:t>
            </w:r>
            <w:r/>
          </w:p>
        </w:tc>
      </w:tr>
      <w:tr>
        <w:trPr>
          <w:jc w:val="center"/>
          <w:trHeight w:val="1761"/>
        </w:trPr>
        <w:tc>
          <w:tcPr>
            <w:tcW w:w="850"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TW"/>
              </w:rPr>
              <w:outlineLvl w:val="9"/>
            </w:pPr>
            <w:r>
              <w:rPr>
                <w:rFonts w:hint="eastAsia" w:ascii="宋体" w:hAnsi="宋体" w:eastAsia="宋体" w:cs="宋体"/>
                <w:color w:val="auto"/>
                <w:sz w:val="24"/>
                <w:szCs w:val="24"/>
                <w:highlight w:val="none"/>
                <w:lang w:val="en-US" w:eastAsia="zh-TW"/>
              </w:rPr>
              <w:t xml:space="preserve">6</w:t>
            </w:r>
            <w:r/>
          </w:p>
        </w:tc>
        <w:tc>
          <w:tcPr>
            <w:tcW w:w="122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违章管理</w:t>
            </w:r>
            <w:r/>
          </w:p>
        </w:tc>
        <w:tc>
          <w:tcPr>
            <w:tcW w:w="2721"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及时阻止破坏和侵占工程、污染水环境以及其他可能影响人员、工程安全的行为。</w:t>
            </w:r>
            <w:r/>
          </w:p>
        </w:tc>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p>
        </w:tc>
        <w:tc>
          <w:tcPr>
            <w:tcW w:w="3969"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未及时阻止破坏和侵占工程、污染水环境以及其他可能影响人员、工程安全的行为，每起扣1 分；发现违章行为未及时报告，扣 2 分。</w:t>
            </w:r>
            <w:r/>
          </w:p>
        </w:tc>
      </w:tr>
      <w:tr>
        <w:trPr>
          <w:jc w:val="center"/>
          <w:trHeight w:val="1217"/>
        </w:trPr>
        <w:tc>
          <w:tcPr>
            <w:tcW w:w="850"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TW"/>
              </w:rPr>
              <w:outlineLvl w:val="9"/>
            </w:pPr>
            <w:r>
              <w:rPr>
                <w:rFonts w:hint="eastAsia" w:ascii="宋体" w:hAnsi="宋体" w:eastAsia="宋体" w:cs="宋体"/>
                <w:color w:val="auto"/>
                <w:sz w:val="24"/>
                <w:szCs w:val="24"/>
                <w:highlight w:val="none"/>
                <w:lang w:val="en-US" w:eastAsia="zh-TW"/>
              </w:rPr>
              <w:t xml:space="preserve">7</w:t>
            </w:r>
            <w:r/>
          </w:p>
        </w:tc>
        <w:tc>
          <w:tcPr>
            <w:tcW w:w="122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安全隐患排查</w:t>
            </w:r>
            <w:r/>
          </w:p>
        </w:tc>
        <w:tc>
          <w:tcPr>
            <w:tcW w:w="2721"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经常开展安全隐患排查治理，发现隐患及时整改。</w:t>
            </w:r>
            <w:r/>
          </w:p>
        </w:tc>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p>
        </w:tc>
        <w:tc>
          <w:tcPr>
            <w:tcW w:w="3969"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存在安全隐患，1 项扣 1分。</w:t>
            </w:r>
            <w:r/>
          </w:p>
        </w:tc>
      </w:tr>
      <w:tr>
        <w:trPr>
          <w:jc w:val="center"/>
          <w:trHeight w:val="1749"/>
        </w:trPr>
        <w:tc>
          <w:tcPr>
            <w:tcW w:w="850"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TW"/>
              </w:rPr>
              <w:outlineLvl w:val="9"/>
            </w:pPr>
            <w:r>
              <w:rPr>
                <w:rFonts w:hint="eastAsia" w:ascii="宋体" w:hAnsi="宋体" w:eastAsia="宋体" w:cs="宋体"/>
                <w:color w:val="auto"/>
                <w:sz w:val="24"/>
                <w:szCs w:val="24"/>
                <w:highlight w:val="none"/>
                <w:lang w:val="en-US" w:eastAsia="zh-TW"/>
              </w:rPr>
              <w:t xml:space="preserve">8</w:t>
            </w:r>
            <w:r/>
          </w:p>
        </w:tc>
        <w:tc>
          <w:tcPr>
            <w:tcW w:w="122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档案管理</w:t>
            </w:r>
            <w:r/>
          </w:p>
        </w:tc>
        <w:tc>
          <w:tcPr>
            <w:tcW w:w="2721"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落实档案管理人员；各类档案资料齐全，建档立卡，分类清楚，存放有序，按时归档。</w:t>
            </w:r>
            <w:r/>
          </w:p>
        </w:tc>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p>
        </w:tc>
        <w:tc>
          <w:tcPr>
            <w:tcW w:w="3969"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未落实档案管理人员，扣 1分；档案资料不完整，扣 1分；否则不得分；档案分类不清楚、存放杂乱、不按时归档，扣 1～3 分。</w:t>
            </w:r>
            <w:r/>
          </w:p>
        </w:tc>
      </w:tr>
    </w:tbl>
    <w:p>
      <w:pPr>
        <w:rPr>
          <w:color w:val="auto"/>
          <w:highlight w:val="none"/>
        </w:rPr>
        <w:sectPr>
          <w:headerReference w:type="default" r:id="rId9"/>
          <w:footerReference w:type="default" r:id="rId10"/>
          <w:footnotePr/>
          <w:endnotePr/>
          <w:type w:val="nextPage"/>
          <w:pgSz w:w="11906" w:h="16838" w:orient="portrait"/>
          <w:pgMar w:top="1134" w:right="1259" w:bottom="1134" w:left="1259" w:header="851" w:footer="907" w:gutter="0"/>
          <w:pgNumType w:start="1"/>
          <w:cols w:num="1" w:sep="0" w:space="720" w:equalWidth="1"/>
          <w:docGrid w:linePitch="360"/>
          <w:titlePg/>
        </w:sectPr>
      </w:pPr>
      <w:r>
        <w:rPr>
          <w:color w:val="auto"/>
          <w:highlight w:val="none"/>
        </w:rPr>
      </w:r>
      <w:r/>
    </w:p>
    <w:p>
      <w:pPr>
        <w:ind w:firstLine="482"/>
        <w:jc w:val="both"/>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附件4</w:t>
      </w:r>
      <w:r/>
    </w:p>
    <w:p>
      <w:pPr>
        <w:jc w:val="center"/>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政府采购履约验收书参考样本(服务类)</w:t>
      </w:r>
      <w:r/>
    </w:p>
    <w:tbl>
      <w:tblPr>
        <w:tblStyle w:val="675"/>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3"/>
        <w:gridCol w:w="857"/>
        <w:gridCol w:w="857"/>
        <w:gridCol w:w="1816"/>
        <w:gridCol w:w="1928"/>
        <w:gridCol w:w="548"/>
        <w:gridCol w:w="1703"/>
        <w:gridCol w:w="2280"/>
        <w:gridCol w:w="2551"/>
      </w:tblGrid>
      <w:tr>
        <w:trPr>
          <w:trHeight w:val="559"/>
        </w:trPr>
        <w:tc>
          <w:tcPr>
            <w:tcW w:w="1623"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采购人</w:t>
            </w:r>
            <w:r/>
          </w:p>
        </w:tc>
        <w:tc>
          <w:tcPr>
            <w:gridSpan w:val="2"/>
            <w:tcW w:w="1714"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rFonts w:ascii="Times New Roman"/>
                <w:color w:val="auto"/>
                <w:sz w:val="18"/>
                <w:highlight w:val="none"/>
              </w:rPr>
              <w:suppressLineNumbers w:val="0"/>
            </w:pPr>
            <w:r>
              <w:rPr>
                <w:rFonts w:ascii="Times New Roman"/>
                <w:color w:val="auto"/>
                <w:sz w:val="18"/>
                <w:highlight w:val="none"/>
              </w:rPr>
            </w:r>
            <w:r/>
          </w:p>
        </w:tc>
        <w:tc>
          <w:tcPr>
            <w:tcW w:w="1816"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项目名称</w:t>
            </w:r>
            <w:r/>
          </w:p>
        </w:tc>
        <w:tc>
          <w:tcPr>
            <w:gridSpan w:val="2"/>
            <w:tcW w:w="2476"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rFonts w:ascii="Times New Roman"/>
                <w:color w:val="auto"/>
                <w:sz w:val="18"/>
                <w:highlight w:val="none"/>
              </w:rPr>
              <w:suppressLineNumbers w:val="0"/>
            </w:pPr>
            <w:r>
              <w:rPr>
                <w:rFonts w:ascii="Times New Roman"/>
                <w:color w:val="auto"/>
                <w:sz w:val="18"/>
                <w:highlight w:val="none"/>
              </w:rPr>
            </w:r>
            <w:r/>
          </w:p>
        </w:tc>
        <w:tc>
          <w:tcPr>
            <w:gridSpan w:val="2"/>
            <w:tcW w:w="3983"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合同名称</w:t>
            </w:r>
            <w:r/>
          </w:p>
        </w:tc>
        <w:tc>
          <w:tcPr>
            <w:tcW w:w="2551"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rFonts w:ascii="Times New Roman"/>
                <w:color w:val="auto"/>
                <w:sz w:val="18"/>
                <w:highlight w:val="none"/>
              </w:rPr>
              <w:suppressLineNumbers w:val="0"/>
            </w:pPr>
            <w:r>
              <w:rPr>
                <w:rFonts w:ascii="Times New Roman"/>
                <w:color w:val="auto"/>
                <w:sz w:val="18"/>
                <w:highlight w:val="none"/>
              </w:rPr>
            </w:r>
            <w:r/>
          </w:p>
        </w:tc>
      </w:tr>
      <w:tr>
        <w:trPr>
          <w:trHeight w:val="564"/>
        </w:trPr>
        <w:tc>
          <w:tcPr>
            <w:tcW w:w="1623"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供应商</w:t>
            </w:r>
            <w:r/>
          </w:p>
        </w:tc>
        <w:tc>
          <w:tcPr>
            <w:gridSpan w:val="2"/>
            <w:tcW w:w="1714"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rFonts w:ascii="Times New Roman"/>
                <w:color w:val="auto"/>
                <w:sz w:val="18"/>
                <w:highlight w:val="none"/>
              </w:rPr>
              <w:suppressLineNumbers w:val="0"/>
            </w:pPr>
            <w:r>
              <w:rPr>
                <w:rFonts w:ascii="Times New Roman"/>
                <w:color w:val="auto"/>
                <w:sz w:val="18"/>
                <w:highlight w:val="none"/>
              </w:rPr>
            </w:r>
            <w:r/>
          </w:p>
        </w:tc>
        <w:tc>
          <w:tcPr>
            <w:tcW w:w="1816"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项目及合同编号</w:t>
            </w:r>
            <w:r/>
          </w:p>
        </w:tc>
        <w:tc>
          <w:tcPr>
            <w:gridSpan w:val="2"/>
            <w:tcW w:w="2476"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rFonts w:ascii="Times New Roman"/>
                <w:color w:val="auto"/>
                <w:sz w:val="18"/>
                <w:highlight w:val="none"/>
              </w:rPr>
              <w:suppressLineNumbers w:val="0"/>
            </w:pPr>
            <w:r>
              <w:rPr>
                <w:rFonts w:ascii="Times New Roman"/>
                <w:color w:val="auto"/>
                <w:sz w:val="18"/>
                <w:highlight w:val="none"/>
              </w:rPr>
            </w:r>
            <w:r/>
          </w:p>
        </w:tc>
        <w:tc>
          <w:tcPr>
            <w:gridSpan w:val="2"/>
            <w:tcW w:w="3983"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合同金额</w:t>
            </w:r>
            <w:r/>
          </w:p>
        </w:tc>
        <w:tc>
          <w:tcPr>
            <w:tcW w:w="2551"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rFonts w:ascii="Times New Roman"/>
                <w:color w:val="auto"/>
                <w:sz w:val="18"/>
                <w:highlight w:val="none"/>
              </w:rPr>
              <w:suppressLineNumbers w:val="0"/>
            </w:pPr>
            <w:r>
              <w:rPr>
                <w:rFonts w:ascii="Times New Roman"/>
                <w:color w:val="auto"/>
                <w:sz w:val="18"/>
                <w:highlight w:val="none"/>
              </w:rPr>
            </w:r>
            <w:r/>
          </w:p>
        </w:tc>
      </w:tr>
      <w:tr>
        <w:trPr>
          <w:trHeight w:val="559"/>
        </w:trPr>
        <w:tc>
          <w:tcPr>
            <w:tcW w:w="1623"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分期（段）验收</w:t>
            </w:r>
            <w:r/>
          </w:p>
        </w:tc>
        <w:tc>
          <w:tcPr>
            <w:tcBorders>
              <w:right w:val="none" w:color="000000" w:sz="4" w:space="0"/>
            </w:tcBorders>
            <w:tcW w:w="857"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是□</w:t>
            </w:r>
            <w:r/>
          </w:p>
        </w:tc>
        <w:tc>
          <w:tcPr>
            <w:tcBorders>
              <w:left w:val="none" w:color="000000" w:sz="4" w:space="0"/>
            </w:tcBorders>
            <w:tcW w:w="857"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否□</w:t>
            </w:r>
            <w:r/>
          </w:p>
        </w:tc>
        <w:tc>
          <w:tcPr>
            <w:tcW w:w="1816"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分期（段）情况</w:t>
            </w:r>
            <w:r/>
          </w:p>
        </w:tc>
        <w:tc>
          <w:tcPr>
            <w:gridSpan w:val="5"/>
            <w:tcW w:w="9010"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rFonts w:ascii="Times New Roman"/>
                <w:color w:val="auto"/>
                <w:sz w:val="18"/>
                <w:highlight w:val="none"/>
              </w:rPr>
              <w:suppressLineNumbers w:val="0"/>
            </w:pPr>
            <w:r>
              <w:rPr>
                <w:color w:val="auto"/>
                <w:sz w:val="18"/>
                <w:highlight w:val="none"/>
              </w:rPr>
              <w:t xml:space="preserve">共分</w:t>
            </w:r>
            <w:r>
              <w:rPr>
                <w:rFonts w:hint="eastAsia"/>
                <w:color w:val="auto"/>
                <w:sz w:val="18"/>
                <w:highlight w:val="none"/>
                <w:lang w:val="en-US" w:eastAsia="zh-CN"/>
              </w:rPr>
              <w:t xml:space="preserve">     </w:t>
            </w:r>
            <w:r>
              <w:rPr>
                <w:color w:val="auto"/>
                <w:sz w:val="18"/>
                <w:highlight w:val="none"/>
              </w:rPr>
              <w:t xml:space="preserve">期（段），此为第</w:t>
            </w:r>
            <w:r>
              <w:rPr>
                <w:rFonts w:hint="eastAsia"/>
                <w:color w:val="auto"/>
                <w:sz w:val="18"/>
                <w:highlight w:val="none"/>
                <w:lang w:val="en-US" w:eastAsia="zh-CN"/>
              </w:rPr>
              <w:t xml:space="preserve">     </w:t>
            </w:r>
            <w:r>
              <w:rPr>
                <w:color w:val="auto"/>
                <w:sz w:val="18"/>
                <w:highlight w:val="none"/>
              </w:rPr>
              <w:t xml:space="preserve">期（段）验收</w:t>
            </w:r>
            <w:r/>
          </w:p>
        </w:tc>
      </w:tr>
      <w:tr>
        <w:trPr>
          <w:trHeight w:val="1679"/>
        </w:trPr>
        <w:tc>
          <w:tcPr>
            <w:tcW w:w="1623"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验收时间</w:t>
            </w:r>
            <w:r/>
          </w:p>
        </w:tc>
        <w:tc>
          <w:tcPr>
            <w:gridSpan w:val="2"/>
            <w:tcW w:w="1714"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rFonts w:ascii="Times New Roman"/>
                <w:color w:val="auto"/>
                <w:sz w:val="18"/>
                <w:highlight w:val="none"/>
              </w:rPr>
              <w:suppressLineNumbers w:val="0"/>
            </w:pPr>
            <w:r>
              <w:rPr>
                <w:rFonts w:ascii="Times New Roman"/>
                <w:color w:val="auto"/>
                <w:sz w:val="18"/>
                <w:highlight w:val="none"/>
              </w:rPr>
            </w:r>
            <w:r/>
          </w:p>
        </w:tc>
        <w:tc>
          <w:tcPr>
            <w:tcW w:w="1816"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验收地点</w:t>
            </w:r>
            <w:r/>
          </w:p>
        </w:tc>
        <w:tc>
          <w:tcPr>
            <w:gridSpan w:val="2"/>
            <w:tcW w:w="2476"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rFonts w:ascii="Times New Roman"/>
                <w:color w:val="auto"/>
                <w:sz w:val="18"/>
                <w:highlight w:val="none"/>
              </w:rPr>
              <w:suppressLineNumbers w:val="0"/>
            </w:pPr>
            <w:r>
              <w:rPr>
                <w:rFonts w:ascii="Times New Roman"/>
                <w:color w:val="auto"/>
                <w:sz w:val="18"/>
                <w:highlight w:val="none"/>
              </w:rPr>
            </w:r>
            <w:r/>
          </w:p>
        </w:tc>
        <w:tc>
          <w:tcPr>
            <w:gridSpan w:val="2"/>
            <w:tcW w:w="3983"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验收组织形式</w:t>
            </w:r>
            <w:r/>
          </w:p>
        </w:tc>
        <w:tc>
          <w:tcPr>
            <w:tcW w:w="2551"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□自行简易验收</w:t>
            </w:r>
            <w:r/>
          </w:p>
          <w:p>
            <w:pPr>
              <w:pStyle w:val="991"/>
              <w:ind w:left="0" w:right="0" w:firstLine="0"/>
              <w:jc w:val="center"/>
              <w:keepLines w:val="0"/>
              <w:keepNext w:val="0"/>
              <w:pageBreakBefore w:val="0"/>
              <w:spacing w:before="0" w:beforeAutospacing="0" w:after="0" w:afterAutospacing="0" w:line="240" w:lineRule="auto"/>
              <w:widowControl w:val="off"/>
              <w:rPr>
                <w:rFonts w:ascii="Arial Unicode MS"/>
                <w:color w:val="auto"/>
                <w:sz w:val="17"/>
                <w:highlight w:val="none"/>
              </w:rPr>
              <w:suppressLineNumbers w:val="0"/>
            </w:pPr>
            <w:r>
              <w:rPr>
                <w:rFonts w:ascii="Arial Unicode MS"/>
                <w:color w:val="auto"/>
                <w:sz w:val="17"/>
                <w:highlight w:val="none"/>
              </w:rPr>
            </w:r>
            <w:r/>
          </w:p>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□验收小组验收</w:t>
            </w:r>
            <w:r/>
          </w:p>
          <w:p>
            <w:pPr>
              <w:pStyle w:val="991"/>
              <w:ind w:left="0" w:right="0" w:firstLine="0"/>
              <w:jc w:val="center"/>
              <w:keepLines w:val="0"/>
              <w:keepNext w:val="0"/>
              <w:pageBreakBefore w:val="0"/>
              <w:spacing w:before="0" w:beforeAutospacing="0" w:after="0" w:afterAutospacing="0" w:line="240" w:lineRule="auto"/>
              <w:widowControl w:val="off"/>
              <w:rPr>
                <w:rFonts w:ascii="Arial Unicode MS"/>
                <w:color w:val="auto"/>
                <w:sz w:val="17"/>
                <w:highlight w:val="none"/>
              </w:rPr>
              <w:suppressLineNumbers w:val="0"/>
            </w:pPr>
            <w:r>
              <w:rPr>
                <w:rFonts w:ascii="Arial Unicode MS"/>
                <w:color w:val="auto"/>
                <w:sz w:val="17"/>
                <w:highlight w:val="none"/>
              </w:rPr>
            </w:r>
            <w:r/>
          </w:p>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□采购代理机构验收</w:t>
            </w:r>
            <w:r/>
          </w:p>
        </w:tc>
      </w:tr>
      <w:tr>
        <w:trPr>
          <w:trHeight w:val="559"/>
        </w:trPr>
        <w:tc>
          <w:tcPr>
            <w:tcW w:w="1623" w:type="dxa"/>
            <w:vAlign w:val="center"/>
            <w:vMerge w:val="restart"/>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验收内容</w:t>
            </w:r>
            <w:r/>
          </w:p>
        </w:tc>
        <w:tc>
          <w:tcPr>
            <w:gridSpan w:val="2"/>
            <w:tcW w:w="1714"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服务质量</w:t>
            </w:r>
            <w:r/>
          </w:p>
        </w:tc>
        <w:tc>
          <w:tcPr>
            <w:tcW w:w="1816"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服务进度</w:t>
            </w:r>
            <w:r/>
          </w:p>
        </w:tc>
        <w:tc>
          <w:tcPr>
            <w:gridSpan w:val="2"/>
            <w:tcW w:w="2476"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人员、设备 配备情况</w:t>
            </w:r>
            <w:r/>
          </w:p>
        </w:tc>
        <w:tc>
          <w:tcPr>
            <w:tcW w:w="1703"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行业、安全标准</w:t>
            </w:r>
            <w:r/>
          </w:p>
        </w:tc>
        <w:tc>
          <w:tcPr>
            <w:tcW w:w="2280"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项目需求、服务承诺</w:t>
            </w:r>
            <w:r/>
          </w:p>
        </w:tc>
        <w:tc>
          <w:tcPr>
            <w:tcW w:w="2551"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合同履约时间</w:t>
            </w:r>
            <w:r>
              <w:rPr>
                <w:rFonts w:hint="eastAsia"/>
                <w:color w:val="auto"/>
                <w:sz w:val="18"/>
                <w:highlight w:val="none"/>
                <w:lang w:eastAsia="zh-CN"/>
              </w:rPr>
              <w:t xml:space="preserve">、</w:t>
            </w:r>
            <w:r>
              <w:rPr>
                <w:color w:val="auto"/>
                <w:sz w:val="18"/>
                <w:highlight w:val="none"/>
              </w:rPr>
              <w:t xml:space="preserve">地点、方式</w:t>
            </w:r>
            <w:r/>
          </w:p>
        </w:tc>
      </w:tr>
      <w:tr>
        <w:trPr>
          <w:trHeight w:val="1119"/>
        </w:trPr>
        <w:tc>
          <w:tcPr>
            <w:tcBorders>
              <w:top w:val="none" w:color="000000" w:sz="4" w:space="0"/>
            </w:tcBorders>
            <w:tcW w:w="162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color w:val="auto"/>
                <w:sz w:val="2"/>
                <w:szCs w:val="2"/>
                <w:highlight w:val="none"/>
              </w:rPr>
              <w:suppressLineNumbers w:val="0"/>
            </w:pPr>
            <w:r>
              <w:rPr>
                <w:color w:val="auto"/>
                <w:sz w:val="2"/>
                <w:szCs w:val="2"/>
                <w:highlight w:val="none"/>
              </w:rPr>
            </w:r>
            <w:r/>
          </w:p>
        </w:tc>
        <w:tc>
          <w:tcPr>
            <w:gridSpan w:val="2"/>
            <w:tcW w:w="1714"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合 格 □</w:t>
            </w:r>
            <w:r/>
          </w:p>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r>
            <w:r/>
          </w:p>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不合格□</w:t>
            </w:r>
            <w:r/>
          </w:p>
        </w:tc>
        <w:tc>
          <w:tcPr>
            <w:tcW w:w="1816"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按 时 □</w:t>
            </w:r>
            <w:r/>
          </w:p>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r>
            <w:r/>
          </w:p>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不按时□</w:t>
            </w:r>
            <w:r/>
          </w:p>
        </w:tc>
        <w:tc>
          <w:tcPr>
            <w:gridSpan w:val="2"/>
            <w:tcW w:w="2476"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合 格 □</w:t>
            </w:r>
            <w:r/>
          </w:p>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r>
            <w:r/>
          </w:p>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不合格□</w:t>
            </w:r>
            <w:r/>
          </w:p>
        </w:tc>
        <w:tc>
          <w:tcPr>
            <w:tcW w:w="1703"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合 格 □</w:t>
            </w:r>
            <w:r/>
          </w:p>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r>
            <w:r/>
          </w:p>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不合格□</w:t>
            </w:r>
            <w:r/>
          </w:p>
        </w:tc>
        <w:tc>
          <w:tcPr>
            <w:tcW w:w="2280"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合 格 □</w:t>
            </w:r>
            <w:r/>
          </w:p>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r>
            <w:r/>
          </w:p>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不合格□</w:t>
            </w:r>
            <w:r/>
          </w:p>
        </w:tc>
        <w:tc>
          <w:tcPr>
            <w:tcW w:w="2551"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合 格 □</w:t>
            </w:r>
            <w:r/>
          </w:p>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r>
            <w:r/>
          </w:p>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不合格□</w:t>
            </w:r>
            <w:r/>
          </w:p>
        </w:tc>
      </w:tr>
      <w:tr>
        <w:trPr>
          <w:trHeight w:val="1118"/>
        </w:trPr>
        <w:tc>
          <w:tcPr>
            <w:tcW w:w="1623"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专业检测机构情</w:t>
            </w:r>
            <w:r/>
          </w:p>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况说明</w:t>
            </w:r>
            <w:r/>
          </w:p>
        </w:tc>
        <w:tc>
          <w:tcPr>
            <w:gridSpan w:val="8"/>
            <w:tcW w:w="12540"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rFonts w:ascii="Times New Roman"/>
                <w:color w:val="auto"/>
                <w:sz w:val="18"/>
                <w:highlight w:val="none"/>
              </w:rPr>
              <w:suppressLineNumbers w:val="0"/>
            </w:pPr>
            <w:r>
              <w:rPr>
                <w:rFonts w:ascii="Times New Roman"/>
                <w:color w:val="auto"/>
                <w:sz w:val="18"/>
                <w:highlight w:val="none"/>
              </w:rPr>
            </w:r>
            <w:r/>
          </w:p>
        </w:tc>
      </w:tr>
      <w:tr>
        <w:trPr>
          <w:trHeight w:val="1117"/>
        </w:trPr>
        <w:tc>
          <w:tcPr>
            <w:tcW w:w="1623"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存在问题和改进意见</w:t>
            </w:r>
            <w:r/>
          </w:p>
        </w:tc>
        <w:tc>
          <w:tcPr>
            <w:gridSpan w:val="8"/>
            <w:tcW w:w="12540"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rFonts w:ascii="Times New Roman"/>
                <w:color w:val="auto"/>
                <w:sz w:val="18"/>
                <w:highlight w:val="none"/>
              </w:rPr>
              <w:suppressLineNumbers w:val="0"/>
            </w:pPr>
            <w:r>
              <w:rPr>
                <w:rFonts w:ascii="Times New Roman"/>
                <w:color w:val="auto"/>
                <w:sz w:val="18"/>
                <w:highlight w:val="none"/>
              </w:rPr>
            </w:r>
            <w:r/>
          </w:p>
        </w:tc>
      </w:tr>
      <w:tr>
        <w:trPr>
          <w:trHeight w:val="1117"/>
        </w:trPr>
        <w:tc>
          <w:tcPr>
            <w:tcW w:w="1623"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最终结论</w:t>
            </w:r>
            <w:r/>
          </w:p>
        </w:tc>
        <w:tc>
          <w:tcPr>
            <w:gridSpan w:val="8"/>
            <w:tcW w:w="12540"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rFonts w:ascii="Times New Roman"/>
                <w:color w:val="auto"/>
                <w:sz w:val="18"/>
                <w:highlight w:val="none"/>
              </w:rPr>
              <w:suppressLineNumbers w:val="0"/>
            </w:pPr>
            <w:r>
              <w:rPr>
                <w:color w:val="auto"/>
                <w:sz w:val="18"/>
                <w:highlight w:val="none"/>
              </w:rPr>
              <w:t xml:space="preserve">合 格 □</w:t>
            </w:r>
            <w:r>
              <w:rPr>
                <w:rFonts w:hint="eastAsia"/>
                <w:color w:val="auto"/>
                <w:sz w:val="18"/>
                <w:highlight w:val="none"/>
                <w:lang w:val="en-US" w:eastAsia="zh-CN"/>
              </w:rPr>
              <w:t xml:space="preserve">               </w:t>
            </w:r>
            <w:r>
              <w:rPr>
                <w:color w:val="auto"/>
                <w:sz w:val="18"/>
                <w:highlight w:val="none"/>
              </w:rPr>
              <w:t xml:space="preserve">不合格□</w:t>
            </w:r>
            <w:r/>
          </w:p>
        </w:tc>
      </w:tr>
      <w:tr>
        <w:trPr>
          <w:trHeight w:val="1117"/>
        </w:trPr>
        <w:tc>
          <w:tcPr>
            <w:tcW w:w="1623" w:type="dxa"/>
            <w:vAlign w:val="center"/>
            <w:textDirection w:val="lrTb"/>
            <w:noWrap w:val="false"/>
          </w:tcPr>
          <w:p>
            <w:pPr>
              <w:pStyle w:val="991"/>
              <w:ind w:left="159" w:right="155"/>
              <w:jc w:val="center"/>
              <w:keepLines w:val="0"/>
              <w:keepNext w:val="0"/>
              <w:spacing w:before="0" w:beforeAutospacing="0" w:after="0" w:afterAutospacing="0"/>
              <w:rPr>
                <w:color w:val="auto"/>
                <w:sz w:val="18"/>
                <w:highlight w:val="none"/>
              </w:rPr>
              <w:suppressLineNumbers w:val="0"/>
            </w:pPr>
            <w:r>
              <w:rPr>
                <w:color w:val="auto"/>
                <w:sz w:val="18"/>
                <w:highlight w:val="none"/>
              </w:rPr>
              <w:t xml:space="preserve">验收小组成员签字</w:t>
            </w:r>
            <w:r/>
          </w:p>
        </w:tc>
        <w:tc>
          <w:tcPr>
            <w:gridSpan w:val="8"/>
            <w:tcW w:w="12540"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r>
            <w:r/>
          </w:p>
        </w:tc>
      </w:tr>
      <w:tr>
        <w:trPr>
          <w:trHeight w:val="1117"/>
        </w:trPr>
        <w:tc>
          <w:tcPr>
            <w:gridSpan w:val="5"/>
            <w:tcW w:w="7081"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采购代理机构意见</w:t>
            </w:r>
            <w:r/>
          </w:p>
        </w:tc>
        <w:tc>
          <w:tcPr>
            <w:gridSpan w:val="4"/>
            <w:tcW w:w="7082" w:type="dxa"/>
            <w:vAlign w:val="center"/>
            <w:textDirection w:val="lrTb"/>
            <w:noWrap w:val="false"/>
          </w:tcPr>
          <w:p>
            <w:pPr>
              <w:pStyle w:val="991"/>
              <w:ind w:left="0" w:right="0" w:firstLine="0"/>
              <w:jc w:val="center"/>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采购人意见</w:t>
            </w:r>
            <w:r/>
          </w:p>
        </w:tc>
      </w:tr>
      <w:tr>
        <w:trPr>
          <w:trHeight w:val="1117"/>
        </w:trPr>
        <w:tc>
          <w:tcPr>
            <w:gridSpan w:val="5"/>
            <w:tcW w:w="7081" w:type="dxa"/>
            <w:vAlign w:val="center"/>
            <w:textDirection w:val="lrTb"/>
            <w:noWrap w:val="false"/>
          </w:tcPr>
          <w:p>
            <w:pPr>
              <w:pStyle w:val="991"/>
              <w:ind w:left="0" w:right="0" w:firstLine="0"/>
              <w:jc w:val="left"/>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经办人</w:t>
            </w:r>
            <w:r>
              <w:rPr>
                <w:rFonts w:hint="eastAsia"/>
                <w:color w:val="auto"/>
                <w:sz w:val="18"/>
                <w:highlight w:val="none"/>
                <w:lang w:eastAsia="zh-CN"/>
              </w:rPr>
              <w:t xml:space="preserve">：</w:t>
            </w:r>
            <w:r>
              <w:rPr>
                <w:rFonts w:hint="eastAsia"/>
                <w:color w:val="auto"/>
                <w:sz w:val="18"/>
                <w:highlight w:val="none"/>
                <w:lang w:val="en-US" w:eastAsia="zh-CN"/>
              </w:rPr>
              <w:t xml:space="preserve">              </w:t>
            </w:r>
            <w:r>
              <w:rPr>
                <w:color w:val="auto"/>
                <w:sz w:val="18"/>
                <w:highlight w:val="none"/>
              </w:rPr>
              <w:t xml:space="preserve">负责人</w:t>
            </w:r>
            <w:r>
              <w:rPr>
                <w:rFonts w:hint="eastAsia"/>
                <w:color w:val="auto"/>
                <w:sz w:val="18"/>
                <w:highlight w:val="none"/>
                <w:lang w:eastAsia="zh-CN"/>
              </w:rPr>
              <w:t xml:space="preserve">：</w:t>
            </w:r>
            <w:r>
              <w:rPr>
                <w:rFonts w:hint="eastAsia"/>
                <w:color w:val="auto"/>
                <w:sz w:val="18"/>
                <w:highlight w:val="none"/>
                <w:lang w:val="en-US" w:eastAsia="zh-CN"/>
              </w:rPr>
              <w:t xml:space="preserve">           </w:t>
            </w:r>
            <w:r>
              <w:rPr>
                <w:color w:val="auto"/>
                <w:sz w:val="18"/>
                <w:highlight w:val="none"/>
              </w:rPr>
              <w:t xml:space="preserve">（采购代理机构公章）</w:t>
            </w:r>
            <w:r/>
          </w:p>
        </w:tc>
        <w:tc>
          <w:tcPr>
            <w:gridSpan w:val="4"/>
            <w:tcW w:w="7082" w:type="dxa"/>
            <w:vAlign w:val="center"/>
            <w:textDirection w:val="lrTb"/>
            <w:noWrap w:val="false"/>
          </w:tcPr>
          <w:p>
            <w:pPr>
              <w:pStyle w:val="991"/>
              <w:ind w:left="0" w:right="0" w:firstLine="0"/>
              <w:jc w:val="both"/>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经办人</w:t>
            </w:r>
            <w:r>
              <w:rPr>
                <w:rFonts w:hint="eastAsia"/>
                <w:color w:val="auto"/>
                <w:sz w:val="18"/>
                <w:highlight w:val="none"/>
                <w:lang w:eastAsia="zh-CN"/>
              </w:rPr>
              <w:t xml:space="preserve">：</w:t>
            </w:r>
            <w:r>
              <w:rPr>
                <w:rFonts w:hint="eastAsia"/>
                <w:color w:val="auto"/>
                <w:sz w:val="18"/>
                <w:highlight w:val="none"/>
                <w:lang w:val="en-US" w:eastAsia="zh-CN"/>
              </w:rPr>
              <w:t xml:space="preserve">              </w:t>
            </w:r>
            <w:r>
              <w:rPr>
                <w:color w:val="auto"/>
                <w:sz w:val="18"/>
                <w:highlight w:val="none"/>
              </w:rPr>
              <w:t xml:space="preserve">负责人</w:t>
            </w:r>
            <w:r>
              <w:rPr>
                <w:rFonts w:hint="eastAsia"/>
                <w:color w:val="auto"/>
                <w:sz w:val="18"/>
                <w:highlight w:val="none"/>
                <w:lang w:eastAsia="zh-CN"/>
              </w:rPr>
              <w:t xml:space="preserve">：</w:t>
            </w:r>
            <w:r>
              <w:rPr>
                <w:rFonts w:hint="eastAsia"/>
                <w:color w:val="auto"/>
                <w:sz w:val="18"/>
                <w:highlight w:val="none"/>
                <w:lang w:val="en-US" w:eastAsia="zh-CN"/>
              </w:rPr>
              <w:t xml:space="preserve">           </w:t>
            </w:r>
            <w:r>
              <w:rPr>
                <w:color w:val="auto"/>
                <w:sz w:val="18"/>
                <w:highlight w:val="none"/>
              </w:rPr>
              <w:t xml:space="preserve">（采购代理机构公章）</w:t>
            </w:r>
            <w:r/>
          </w:p>
        </w:tc>
      </w:tr>
      <w:tr>
        <w:trPr>
          <w:trHeight w:val="1117"/>
        </w:trPr>
        <w:tc>
          <w:tcPr>
            <w:gridSpan w:val="9"/>
            <w:tcW w:w="14163" w:type="dxa"/>
            <w:vAlign w:val="center"/>
            <w:textDirection w:val="lrTb"/>
            <w:noWrap w:val="false"/>
          </w:tcPr>
          <w:p>
            <w:pPr>
              <w:pStyle w:val="991"/>
              <w:ind w:left="107" w:right="0"/>
              <w:keepLines w:val="0"/>
              <w:keepNext w:val="0"/>
              <w:spacing w:before="0" w:beforeAutospacing="0" w:after="0" w:afterAutospacing="0"/>
              <w:rPr>
                <w:color w:val="auto"/>
                <w:sz w:val="18"/>
                <w:highlight w:val="none"/>
              </w:rPr>
              <w:suppressLineNumbers w:val="0"/>
            </w:pPr>
            <w:r>
              <w:rPr>
                <w:color w:val="auto"/>
                <w:sz w:val="18"/>
                <w:highlight w:val="none"/>
              </w:rPr>
              <w:t xml:space="preserve">供应商确认</w:t>
            </w:r>
            <w:r/>
          </w:p>
          <w:p>
            <w:pPr>
              <w:pStyle w:val="991"/>
              <w:ind w:left="107" w:right="0"/>
              <w:keepLines w:val="0"/>
              <w:keepNext w:val="0"/>
              <w:spacing w:before="0" w:beforeAutospacing="0" w:after="0" w:afterAutospacing="0"/>
              <w:rPr>
                <w:color w:val="auto"/>
                <w:sz w:val="18"/>
                <w:highlight w:val="none"/>
              </w:rPr>
              <w:suppressLineNumbers w:val="0"/>
            </w:pPr>
            <w:r>
              <w:rPr>
                <w:color w:val="auto"/>
                <w:sz w:val="18"/>
                <w:highlight w:val="none"/>
              </w:rPr>
            </w:r>
            <w:r/>
          </w:p>
          <w:p>
            <w:pPr>
              <w:pStyle w:val="991"/>
              <w:ind w:left="0" w:right="0" w:firstLine="0"/>
              <w:jc w:val="both"/>
              <w:keepLines w:val="0"/>
              <w:keepNext w:val="0"/>
              <w:pageBreakBefore w:val="0"/>
              <w:spacing w:before="0" w:beforeAutospacing="0" w:after="0" w:afterAutospacing="0" w:line="240" w:lineRule="auto"/>
              <w:widowControl w:val="off"/>
              <w:rPr>
                <w:color w:val="auto"/>
                <w:sz w:val="18"/>
                <w:highlight w:val="none"/>
              </w:rPr>
              <w:suppressLineNumbers w:val="0"/>
            </w:pPr>
            <w:r>
              <w:rPr>
                <w:color w:val="auto"/>
                <w:sz w:val="18"/>
                <w:highlight w:val="none"/>
              </w:rPr>
              <w:t xml:space="preserve">（单位公章或授权代表签字）</w:t>
            </w:r>
            <w:r/>
          </w:p>
        </w:tc>
      </w:tr>
    </w:tbl>
    <w:p>
      <w:pPr>
        <w:rPr>
          <w:rFonts w:hint="eastAsia"/>
          <w:color w:val="auto"/>
          <w:highlight w:val="none"/>
          <w:lang w:val="en-US" w:eastAsia="zh-CN"/>
        </w:rPr>
      </w:pPr>
      <w:r>
        <w:rPr>
          <w:rFonts w:hint="eastAsia"/>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说明 1.该表为服务类项目履约验收的参考样表，采购人或采购代理机构可以根据工作实际进行调整</w:t>
      </w:r>
      <w:r/>
    </w:p>
    <w:p>
      <w:pPr>
        <w:rPr>
          <w:rFonts w:hint="eastAsia"/>
          <w:color w:val="auto"/>
          <w:highlight w:val="none"/>
          <w:lang w:val="en-US" w:eastAsia="zh-CN"/>
        </w:rPr>
      </w:pPr>
      <w:r>
        <w:rPr>
          <w:rFonts w:hint="eastAsia" w:ascii="宋体" w:hAnsi="宋体" w:eastAsia="宋体" w:cs="宋体"/>
          <w:color w:val="auto"/>
          <w:highlight w:val="none"/>
          <w:lang w:val="en-US" w:eastAsia="zh-CN"/>
        </w:rPr>
        <w:t xml:space="preserve">2.未委托采购代理机构开展履约验收工作的，无需填写“采购代理机构意见”。</w:t>
      </w:r>
      <w:r/>
    </w:p>
    <w:p>
      <w:pPr>
        <w:pStyle w:val="666"/>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eastAsia" w:ascii="黑体" w:hAnsi="Courier New" w:eastAsia="黑体" w:cs="Courier New"/>
          <w:bCs/>
          <w:color w:val="auto"/>
          <w:sz w:val="44"/>
          <w:szCs w:val="21"/>
          <w:highlight w:val="none"/>
        </w:rPr>
        <w:sectPr>
          <w:footnotePr/>
          <w:endnotePr/>
          <w:type w:val="nextPage"/>
          <w:pgSz w:w="16838" w:h="11906" w:orient="landscape"/>
          <w:pgMar w:top="1259" w:right="1134" w:bottom="1259" w:left="1134" w:header="851" w:footer="907" w:gutter="0"/>
          <w:cols w:num="1" w:sep="0" w:space="720" w:equalWidth="1"/>
          <w:docGrid w:linePitch="360"/>
          <w:titlePg/>
        </w:sectPr>
      </w:pPr>
      <w:r/>
      <w:bookmarkStart w:id="179" w:name="_Hlt16619350"/>
      <w:r/>
      <w:bookmarkStart w:id="180" w:name="_Toc20823346"/>
      <w:r/>
      <w:bookmarkStart w:id="181" w:name="_Toc120614244"/>
      <w:r/>
      <w:bookmarkStart w:id="182" w:name="_Toc16938590"/>
      <w:r/>
      <w:bookmarkStart w:id="183" w:name="_Toc479757211"/>
      <w:r/>
      <w:bookmarkStart w:id="184" w:name="_Toc462564139"/>
      <w:r/>
      <w:r/>
    </w:p>
    <w:p>
      <w:pPr>
        <w:jc w:val="center"/>
        <w:keepLines w:val="0"/>
        <w:keepNext w:val="0"/>
        <w:pageBreakBefore w:val="0"/>
        <w:spacing w:line="360" w:lineRule="auto"/>
        <w:widowControl w:val="off"/>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t xml:space="preserve">第</w:t>
      </w:r>
      <w:bookmarkEnd w:id="179"/>
      <w:r>
        <w:rPr>
          <w:rFonts w:hint="eastAsia" w:ascii="黑体" w:hAnsi="Courier New" w:eastAsia="黑体" w:cs="Courier New"/>
          <w:bCs/>
          <w:color w:val="auto"/>
          <w:sz w:val="44"/>
          <w:szCs w:val="21"/>
          <w:highlight w:val="none"/>
        </w:rPr>
        <w:t xml:space="preserve">四章 采购需求</w:t>
      </w:r>
      <w:bookmarkEnd w:id="180"/>
      <w:r/>
      <w:bookmarkEnd w:id="181"/>
      <w:r/>
      <w:bookmarkEnd w:id="182"/>
      <w:r/>
      <w:bookmarkStart w:id="185" w:name="_Toc26554093"/>
      <w:r/>
      <w:bookmarkStart w:id="186" w:name="_Toc49090575"/>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bookmarkStart w:id="187" w:name="_Toc13080"/>
      <w:r/>
      <w:bookmarkStart w:id="188" w:name="_Toc4280"/>
      <w:r/>
      <w:bookmarkStart w:id="189" w:name="_Toc8735"/>
      <w:r>
        <w:rPr>
          <w:rFonts w:hint="eastAsia" w:ascii="宋体" w:hAnsi="宋体" w:cs="宋体"/>
          <w:b/>
          <w:bCs/>
          <w:color w:val="auto"/>
          <w:sz w:val="24"/>
          <w:szCs w:val="24"/>
          <w:highlight w:val="none"/>
          <w:lang w:val="en-US" w:eastAsia="zh-CN"/>
        </w:rPr>
        <w:t xml:space="preserve">一、基本情况</w:t>
      </w:r>
      <w:r/>
    </w:p>
    <w:p>
      <w:pPr>
        <w:ind w:firstLine="482"/>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接镇2100户分散农户生活污水治理工程共设置提升泵站6座，真空站6座，真空负压井1268座、真空管路72460米，负压配套检查井隔油池6418座，重力排污管道51778米，真空清扫器54座。本项目自2022年11月启动运行，目前设施均能够稳定运行。</w:t>
      </w:r>
      <w:r/>
    </w:p>
    <w:p>
      <w:pPr>
        <w:ind w:firstLine="482"/>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在运行过程中，设施的运行维护保养过程，因住户在使用过程中会不慎丢入杂物垃圾（破布、卫生巾、手套、塑料袋、饮料瓶、塑料碎片、玉米芯等）、真空管路常因农耕活动产生破坏，增加了整个真空污水收集系统妥善运行的困难度。为了确保给住户更好的使用体验感及系统的妥善运行率，对于本真空系统真空管路及重力管路，必须增加专人进行维护、保养、巡检及故障排除。</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二、真空负压收集系统说明</w:t>
      </w:r>
      <w:r/>
    </w:p>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仿宋_GB2312" w:hAnsi="仿宋" w:eastAsia="仿宋_GB2312" w:cs="仿宋"/>
          <w:color w:val="auto"/>
          <w:sz w:val="28"/>
          <w:szCs w:val="28"/>
          <w:highlight w:val="none"/>
          <w:lang w:eastAsia="zh-Hans"/>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4450080</wp:posOffset>
                </wp:positionH>
                <wp:positionV relativeFrom="paragraph">
                  <wp:posOffset>5068570</wp:posOffset>
                </wp:positionV>
                <wp:extent cx="560705" cy="21145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60705" cy="211455"/>
                        </a:xfrm>
                        <a:prstGeom prst="rect">
                          <a:avLst/>
                        </a:prstGeom>
                        <a:solidFill>
                          <a:srgbClr val="FFFFFF"/>
                        </a:solidFill>
                        <a:ln>
                          <a:noFill/>
                          <a:miter/>
                        </a:ln>
                      </wps:spPr>
                      <wps:txbx>
                        <w:txbxContent>
                          <w:p>
                            <w:pPr>
                              <w:rPr>
                                <w:rFonts w:hint="eastAsia" w:ascii="宋体" w:hAnsi="宋体" w:eastAsia="宋体" w:cs="宋体"/>
                                <w:b/>
                                <w:bCs/>
                                <w:lang w:eastAsia="zh-Hans"/>
                              </w:rPr>
                            </w:pPr>
                            <w:r>
                              <w:rPr>
                                <w:rFonts w:hint="eastAsia" w:ascii="宋体" w:hAnsi="宋体" w:eastAsia="宋体" w:cs="宋体"/>
                                <w:b/>
                                <w:bCs/>
                                <w:lang w:eastAsia="zh-Hans"/>
                              </w:rPr>
                              <w:t xml:space="preserve">真空站</w:t>
                            </w:r>
                            <w:r/>
                          </w:p>
                        </w:txbxContent>
                      </wps:txbx>
                      <wps:bodyPr wrap="square" lIns="37440" tIns="20520" rIns="37440" bIns="20520" upright="1"/>
                    </wps:wsp>
                  </a:graphicData>
                </a:graphic>
              </wp:anchor>
            </w:drawing>
          </mc:Choice>
          <mc:Fallback>
            <w:pict>
              <v:shape id="shape 0" o:spid="_x0000_s0" o:spt="202" type="#_x0000_t202" style="position:absolute;z-index:251664384;o:allowoverlap:true;o:allowincell:true;mso-position-horizontal-relative:text;margin-left:350.4pt;mso-position-horizontal:absolute;mso-position-vertical-relative:text;margin-top:399.1pt;mso-position-vertical:absolute;width:44.1pt;height:16.6pt;mso-wrap-distance-left:9.0pt;mso-wrap-distance-top:0.0pt;mso-wrap-distance-right:9.0pt;mso-wrap-distance-bottom:0.0pt;visibility:visible;" fillcolor="#FFFFFF" stroked="f">
                <v:textbox inset="0,0,0,0">
                  <w:txbxContent>
                    <w:p>
                      <w:pPr>
                        <w:rPr>
                          <w:rFonts w:hint="eastAsia" w:ascii="宋体" w:hAnsi="宋体" w:eastAsia="宋体" w:cs="宋体"/>
                          <w:b/>
                          <w:bCs/>
                          <w:lang w:eastAsia="zh-Hans"/>
                        </w:rPr>
                      </w:pPr>
                      <w:r>
                        <w:rPr>
                          <w:rFonts w:hint="eastAsia" w:ascii="宋体" w:hAnsi="宋体" w:eastAsia="宋体" w:cs="宋体"/>
                          <w:b/>
                          <w:bCs/>
                          <w:lang w:eastAsia="zh-Hans"/>
                        </w:rPr>
                        <w:t xml:space="preserve">真空站</w:t>
                      </w:r>
                      <w:r/>
                    </w:p>
                  </w:txbxContent>
                </v:textbox>
              </v:shape>
            </w:pict>
          </mc:Fallback>
        </mc:AlternateContent>
      </w:r>
      <w:r>
        <w:rPr>
          <w:rFonts w:hint="eastAsia" w:ascii="仿宋_GB2312" w:hAnsi="仿宋" w:eastAsia="仿宋_GB2312" w:cs="仿宋"/>
          <w:color w:val="auto"/>
          <w:sz w:val="28"/>
          <w:szCs w:val="28"/>
          <w:highlight w:val="none"/>
          <w:lang w:eastAsia="zh-Han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2519680</wp:posOffset>
                </wp:positionH>
                <wp:positionV relativeFrom="paragraph">
                  <wp:posOffset>5059680</wp:posOffset>
                </wp:positionV>
                <wp:extent cx="1370330" cy="22098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370330" cy="220980"/>
                        </a:xfrm>
                        <a:prstGeom prst="rect">
                          <a:avLst/>
                        </a:prstGeom>
                        <a:solidFill>
                          <a:srgbClr val="FFFFFF"/>
                        </a:solidFill>
                        <a:ln>
                          <a:noFill/>
                          <a:miter/>
                        </a:ln>
                      </wps:spPr>
                      <wps:txbx>
                        <w:txbxContent>
                          <w:p>
                            <w:pPr>
                              <w:rPr>
                                <w:rFonts w:hint="eastAsia" w:ascii="宋体" w:hAnsi="宋体" w:eastAsia="宋体" w:cs="宋体"/>
                                <w:b/>
                                <w:bCs/>
                                <w:lang w:eastAsia="zh-Hans"/>
                              </w:rPr>
                            </w:pPr>
                            <w:r>
                              <w:rPr>
                                <w:rFonts w:hint="eastAsia" w:ascii="宋体" w:hAnsi="宋体" w:eastAsia="宋体" w:cs="宋体"/>
                                <w:b/>
                                <w:bCs/>
                                <w:lang w:eastAsia="zh-Hans"/>
                              </w:rPr>
                              <w:t xml:space="preserve">真空管路(含管障物)</w:t>
                            </w:r>
                            <w:r/>
                          </w:p>
                        </w:txbxContent>
                      </wps:txbx>
                      <wps:bodyPr wrap="square" lIns="37440" tIns="20520" rIns="37440" bIns="20520" upright="1"/>
                    </wps:wsp>
                  </a:graphicData>
                </a:graphic>
              </wp:anchor>
            </w:drawing>
          </mc:Choice>
          <mc:Fallback>
            <w:pict>
              <v:shape id="shape 1" o:spid="_x0000_s1" o:spt="202" type="#_x0000_t202" style="position:absolute;z-index:251663360;o:allowoverlap:true;o:allowincell:true;mso-position-horizontal-relative:text;margin-left:198.4pt;mso-position-horizontal:absolute;mso-position-vertical-relative:text;margin-top:398.4pt;mso-position-vertical:absolute;width:107.9pt;height:17.4pt;mso-wrap-distance-left:9.0pt;mso-wrap-distance-top:0.0pt;mso-wrap-distance-right:9.0pt;mso-wrap-distance-bottom:0.0pt;visibility:visible;" fillcolor="#FFFFFF" stroked="f">
                <v:textbox inset="0,0,0,0">
                  <w:txbxContent>
                    <w:p>
                      <w:pPr>
                        <w:rPr>
                          <w:rFonts w:hint="eastAsia" w:ascii="宋体" w:hAnsi="宋体" w:eastAsia="宋体" w:cs="宋体"/>
                          <w:b/>
                          <w:bCs/>
                          <w:lang w:eastAsia="zh-Hans"/>
                        </w:rPr>
                      </w:pPr>
                      <w:r>
                        <w:rPr>
                          <w:rFonts w:hint="eastAsia" w:ascii="宋体" w:hAnsi="宋体" w:eastAsia="宋体" w:cs="宋体"/>
                          <w:b/>
                          <w:bCs/>
                          <w:lang w:eastAsia="zh-Hans"/>
                        </w:rPr>
                        <w:t xml:space="preserve">真空管路(含管障物)</w:t>
                      </w:r>
                      <w:r/>
                    </w:p>
                  </w:txbxContent>
                </v:textbox>
              </v:shape>
            </w:pict>
          </mc:Fallback>
        </mc:AlternateContent>
      </w:r>
      <w:r>
        <w:rPr>
          <w:rFonts w:hint="eastAsia" w:ascii="仿宋_GB2312" w:hAnsi="仿宋" w:eastAsia="仿宋_GB2312" w:cs="仿宋"/>
          <w:color w:val="auto"/>
          <w:sz w:val="28"/>
          <w:szCs w:val="28"/>
          <w:highlight w:val="none"/>
          <w:lang w:eastAsia="zh-Han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1525905</wp:posOffset>
                </wp:positionH>
                <wp:positionV relativeFrom="paragraph">
                  <wp:posOffset>5063490</wp:posOffset>
                </wp:positionV>
                <wp:extent cx="560705" cy="22098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560705" cy="220980"/>
                        </a:xfrm>
                        <a:prstGeom prst="rect">
                          <a:avLst/>
                        </a:prstGeom>
                        <a:solidFill>
                          <a:srgbClr val="FFFFFF"/>
                        </a:solidFill>
                        <a:ln>
                          <a:noFill/>
                          <a:miter/>
                        </a:ln>
                      </wps:spPr>
                      <wps:txbx>
                        <w:txbxContent>
                          <w:p>
                            <w:pPr>
                              <w:rPr>
                                <w:rFonts w:hint="eastAsia" w:ascii="宋体" w:hAnsi="宋体" w:eastAsia="宋体" w:cs="宋体"/>
                                <w:b/>
                                <w:bCs/>
                                <w:lang w:eastAsia="zh-Hans"/>
                              </w:rPr>
                            </w:pPr>
                            <w:r>
                              <w:rPr>
                                <w:rFonts w:hint="eastAsia" w:ascii="宋体" w:hAnsi="宋体" w:eastAsia="宋体" w:cs="宋体"/>
                                <w:b/>
                                <w:bCs/>
                                <w:lang w:eastAsia="zh-Hans"/>
                              </w:rPr>
                              <w:t xml:space="preserve">真空井</w:t>
                            </w:r>
                            <w:r/>
                          </w:p>
                        </w:txbxContent>
                      </wps:txbx>
                      <wps:bodyPr wrap="square" lIns="37440" tIns="20520" rIns="37440" bIns="20520" upright="1"/>
                    </wps:wsp>
                  </a:graphicData>
                </a:graphic>
              </wp:anchor>
            </w:drawing>
          </mc:Choice>
          <mc:Fallback>
            <w:pict>
              <v:shape id="shape 2" o:spid="_x0000_s2" o:spt="202" type="#_x0000_t202" style="position:absolute;z-index:251661312;o:allowoverlap:true;o:allowincell:true;mso-position-horizontal-relative:text;margin-left:120.1pt;mso-position-horizontal:absolute;mso-position-vertical-relative:text;margin-top:398.7pt;mso-position-vertical:absolute;width:44.1pt;height:17.4pt;mso-wrap-distance-left:9.0pt;mso-wrap-distance-top:0.0pt;mso-wrap-distance-right:9.0pt;mso-wrap-distance-bottom:0.0pt;visibility:visible;" fillcolor="#FFFFFF" stroked="f">
                <v:textbox inset="0,0,0,0">
                  <w:txbxContent>
                    <w:p>
                      <w:pPr>
                        <w:rPr>
                          <w:rFonts w:hint="eastAsia" w:ascii="宋体" w:hAnsi="宋体" w:eastAsia="宋体" w:cs="宋体"/>
                          <w:b/>
                          <w:bCs/>
                          <w:lang w:eastAsia="zh-Hans"/>
                        </w:rPr>
                      </w:pPr>
                      <w:r>
                        <w:rPr>
                          <w:rFonts w:hint="eastAsia" w:ascii="宋体" w:hAnsi="宋体" w:eastAsia="宋体" w:cs="宋体"/>
                          <w:b/>
                          <w:bCs/>
                          <w:lang w:eastAsia="zh-Hans"/>
                        </w:rPr>
                        <w:t xml:space="preserve">真空井</w:t>
                      </w:r>
                      <w:r/>
                    </w:p>
                  </w:txbxContent>
                </v:textbox>
              </v:shape>
            </w:pict>
          </mc:Fallback>
        </mc:AlternateContent>
      </w:r>
      <w:r>
        <w:rPr>
          <w:rFonts w:hint="eastAsia" w:ascii="仿宋_GB2312" w:hAnsi="仿宋" w:eastAsia="仿宋_GB2312" w:cs="仿宋"/>
          <w:color w:val="auto"/>
          <w:sz w:val="28"/>
          <w:szCs w:val="28"/>
          <w:highlight w:val="none"/>
          <w:lang w:eastAsia="zh-Han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779780</wp:posOffset>
                </wp:positionH>
                <wp:positionV relativeFrom="paragraph">
                  <wp:posOffset>4838065</wp:posOffset>
                </wp:positionV>
                <wp:extent cx="371475" cy="210185"/>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flipV="1">
                          <a:off x="0" y="0"/>
                          <a:ext cx="371475" cy="210185"/>
                        </a:xfrm>
                        <a:prstGeom prst="line">
                          <a:avLst/>
                        </a:prstGeom>
                        <a:noFill/>
                        <a:ln>
                          <a:solidFill>
                            <a:srgbClr val="000000"/>
                          </a:solidFill>
                          <a:round/>
                          <a:tailEnd type="arrow"/>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61.4pt,380.9pt" to="90.7pt,397.5pt" filled="f" strokecolor="#000000"/>
            </w:pict>
          </mc:Fallback>
        </mc:AlternateContent>
      </w:r>
      <w:r>
        <w:rPr>
          <w:rFonts w:hint="eastAsia" w:ascii="仿宋_GB2312" w:hAnsi="仿宋" w:eastAsia="仿宋_GB2312" w:cs="仿宋"/>
          <w:color w:val="auto"/>
          <w:sz w:val="28"/>
          <w:szCs w:val="28"/>
          <w:highlight w:val="none"/>
          <w:lang w:eastAsia="zh-Han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331470</wp:posOffset>
                </wp:positionH>
                <wp:positionV relativeFrom="paragraph">
                  <wp:posOffset>5041900</wp:posOffset>
                </wp:positionV>
                <wp:extent cx="985520" cy="22098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985519" cy="220980"/>
                        </a:xfrm>
                        <a:prstGeom prst="rect">
                          <a:avLst/>
                        </a:prstGeom>
                        <a:solidFill>
                          <a:srgbClr val="FFFFFF"/>
                        </a:solidFill>
                        <a:ln>
                          <a:noFill/>
                          <a:miter/>
                        </a:ln>
                      </wps:spPr>
                      <wps:txbx>
                        <w:txbxContent>
                          <w:p>
                            <w:pPr>
                              <w:rPr>
                                <w:rFonts w:hint="eastAsia" w:ascii="宋体" w:hAnsi="宋体" w:eastAsia="宋体" w:cs="宋体"/>
                                <w:b/>
                                <w:bCs/>
                                <w:szCs w:val="21"/>
                                <w:lang w:eastAsia="zh-Hans"/>
                              </w:rPr>
                            </w:pPr>
                            <w:r>
                              <w:rPr>
                                <w:rFonts w:hint="eastAsia" w:ascii="宋体" w:hAnsi="宋体" w:eastAsia="宋体" w:cs="宋体"/>
                                <w:b/>
                                <w:bCs/>
                                <w:szCs w:val="21"/>
                                <w:lang w:eastAsia="zh-Hans"/>
                              </w:rPr>
                              <w:t xml:space="preserve">住户重力排水</w:t>
                            </w:r>
                            <w:r/>
                          </w:p>
                        </w:txbxContent>
                      </wps:txbx>
                      <wps:bodyPr wrap="square" lIns="37440" tIns="20520" rIns="37440" bIns="20520" upright="1"/>
                    </wps:wsp>
                  </a:graphicData>
                </a:graphic>
              </wp:anchor>
            </w:drawing>
          </mc:Choice>
          <mc:Fallback>
            <w:pict>
              <v:shape id="shape 4" o:spid="_x0000_s4" o:spt="202" type="#_x0000_t202" style="position:absolute;z-index:251662336;o:allowoverlap:true;o:allowincell:true;mso-position-horizontal-relative:text;margin-left:26.1pt;mso-position-horizontal:absolute;mso-position-vertical-relative:text;margin-top:397.0pt;mso-position-vertical:absolute;width:77.6pt;height:17.4pt;mso-wrap-distance-left:9.0pt;mso-wrap-distance-top:0.0pt;mso-wrap-distance-right:9.0pt;mso-wrap-distance-bottom:0.0pt;visibility:visible;" fillcolor="#FFFFFF" stroked="f">
                <v:textbox inset="0,0,0,0">
                  <w:txbxContent>
                    <w:p>
                      <w:pPr>
                        <w:rPr>
                          <w:rFonts w:hint="eastAsia" w:ascii="宋体" w:hAnsi="宋体" w:eastAsia="宋体" w:cs="宋体"/>
                          <w:b/>
                          <w:bCs/>
                          <w:szCs w:val="21"/>
                          <w:lang w:eastAsia="zh-Hans"/>
                        </w:rPr>
                      </w:pPr>
                      <w:r>
                        <w:rPr>
                          <w:rFonts w:hint="eastAsia" w:ascii="宋体" w:hAnsi="宋体" w:eastAsia="宋体" w:cs="宋体"/>
                          <w:b/>
                          <w:bCs/>
                          <w:szCs w:val="21"/>
                          <w:lang w:eastAsia="zh-Hans"/>
                        </w:rPr>
                        <w:t xml:space="preserve">住户重力排水</w:t>
                      </w:r>
                      <w:r/>
                    </w:p>
                  </w:txbxContent>
                </v:textbox>
              </v:shape>
            </w:pict>
          </mc:Fallback>
        </mc:AlternateContent>
      </w:r>
      <w:r>
        <w:rPr>
          <w:rFonts w:hint="eastAsia" w:ascii="仿宋_GB2312" w:hAnsi="仿宋" w:eastAsia="仿宋_GB2312" w:cs="仿宋"/>
          <w:color w:val="auto"/>
          <w:sz w:val="28"/>
          <w:szCs w:val="28"/>
          <w:highlight w:val="none"/>
          <w:lang w:eastAsia="zh-Hans"/>
        </w:rPr>
        <mc:AlternateContent>
          <mc:Choice Requires="wpg">
            <w:drawing>
              <wp:inline xmlns:wp="http://schemas.openxmlformats.org/drawingml/2006/wordprocessingDrawing" distT="0" distB="0" distL="0" distR="0">
                <wp:extent cx="5656580" cy="2647950"/>
                <wp:effectExtent l="0" t="0" r="0" b="0"/>
                <wp:docPr id="6"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2"/>
                        <a:stretch/>
                      </pic:blipFill>
                      <pic:spPr bwMode="auto">
                        <a:xfrm>
                          <a:off x="0" y="0"/>
                          <a:ext cx="5656580" cy="264794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5.4pt;height:208.5pt;mso-wrap-distance-left:0.0pt;mso-wrap-distance-top:0.0pt;mso-wrap-distance-right:0.0pt;mso-wrap-distance-bottom:0.0pt;" stroked="f">
                <v:path textboxrect="0,0,0,0"/>
                <v:imagedata r:id="rId12" o:title=""/>
              </v:shape>
            </w:pict>
          </mc:Fallback>
        </mc:AlternateContent>
      </w:r>
      <w:r>
        <w:rPr>
          <w:rFonts w:hint="eastAsia" w:ascii="仿宋_GB2312" w:hAnsi="仿宋" w:eastAsia="仿宋_GB2312" w:cs="仿宋"/>
          <w:color w:val="auto"/>
          <w:sz w:val="28"/>
          <w:szCs w:val="28"/>
          <w:highlight w:val="none"/>
          <w:lang w:eastAsia="zh-Hans"/>
        </w:rPr>
        <mc:AlternateContent>
          <mc:Choice Requires="wpg">
            <w:drawing>
              <wp:inline xmlns:wp="http://schemas.openxmlformats.org/drawingml/2006/wordprocessingDrawing" distT="0" distB="0" distL="0" distR="0">
                <wp:extent cx="5536565" cy="2724150"/>
                <wp:effectExtent l="0" t="0" r="0" b="0"/>
                <wp:docPr id="7"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3"/>
                        <a:stretch/>
                      </pic:blipFill>
                      <pic:spPr bwMode="auto">
                        <a:xfrm>
                          <a:off x="0" y="0"/>
                          <a:ext cx="5536565" cy="27241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35.9pt;height:214.5pt;mso-wrap-distance-left:0.0pt;mso-wrap-distance-top:0.0pt;mso-wrap-distance-right:0.0pt;mso-wrap-distance-bottom:0.0pt;" stroked="f">
                <v:path textboxrect="0,0,0,0"/>
                <v:imagedata r:id="rId13" o:title=""/>
              </v:shape>
            </w:pict>
          </mc:Fallback>
        </mc:AlternateContent>
      </w:r>
      <w:r>
        <w:rPr>
          <w:rFonts w:hint="eastAsia" w:ascii="仿宋_GB2312" w:hAnsi="仿宋" w:eastAsia="仿宋_GB2312" w:cs="仿宋"/>
          <w:color w:val="auto"/>
          <w:sz w:val="28"/>
          <w:szCs w:val="28"/>
          <w:highlight w:val="none"/>
          <w:lang w:eastAsia="zh-Hans"/>
        </w:rPr>
        <mc:AlternateContent>
          <mc:Choice Requires="wpg">
            <w:drawing>
              <wp:inline xmlns:wp="http://schemas.openxmlformats.org/drawingml/2006/wordprocessingDrawing" distT="0" distB="0" distL="0" distR="0">
                <wp:extent cx="5755005" cy="3743960"/>
                <wp:effectExtent l="0" t="0" r="0" b="0"/>
                <wp:docPr id="8"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4"/>
                        <a:stretch/>
                      </pic:blipFill>
                      <pic:spPr bwMode="auto">
                        <a:xfrm>
                          <a:off x="0" y="0"/>
                          <a:ext cx="5755005" cy="374396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3.1pt;height:294.8pt;mso-wrap-distance-left:0.0pt;mso-wrap-distance-top:0.0pt;mso-wrap-distance-right:0.0pt;mso-wrap-distance-bottom:0.0pt;" stroked="f">
                <v:path textboxrect="0,0,0,0"/>
                <v:imagedata r:id="rId14" o:title=""/>
              </v:shape>
            </w:pict>
          </mc:Fallback>
        </mc:AlternateContent>
      </w:r>
      <w:r/>
    </w:p>
    <w:p>
      <w:pPr>
        <w:ind w:firstLine="482"/>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区域内各农户及浴室厕所与厨房污排水由用户室内以重力方式排</w:t>
      </w:r>
      <w:r>
        <w:rPr>
          <w:rFonts w:hint="eastAsia" w:ascii="宋体" w:hAnsi="宋体" w:cs="宋体"/>
          <w:color w:val="auto"/>
          <w:sz w:val="24"/>
          <w:szCs w:val="24"/>
          <w:highlight w:val="none"/>
          <w:lang w:val="en-US" w:eastAsia="zh-CN"/>
        </w:rPr>
        <w:t xml:space="preserve">入就近新设真空负压污排水收集系统的真空井内，当该真空井收集流入污水达设定高水位时，真空井内真空阀将被自动开启，连通真空收集管线内真空负压去抽吸该真空井底蓄积之污水，当真空井内污水逐步被抽吸到低液位时该真空井内真空阀会自动关断真空管段连通，停止真空井内抽吸动作，被真空管段收集的污水将逐段逐步输送到系统中心的真空站内真空污水贮槽，完成整个污水输送工作，而此时真空井则等待污水的持续排入与蓄存污水至高液位续进行下一循环作动（如图所示）。污水被真空抽送至真空站内储槽，水位至高液位时，污水泵启动将污水抽至污水处理设施。</w:t>
      </w:r>
      <w:r/>
    </w:p>
    <w:p>
      <w:pPr>
        <w:ind w:firstLine="482"/>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仿宋_GB2312" w:hAnsi="仿宋" w:eastAsia="仿宋_GB2312" w:cs="仿宋"/>
          <w:b/>
          <w:bCs/>
          <w:color w:val="auto"/>
          <w:sz w:val="28"/>
          <w:szCs w:val="28"/>
          <w:highlight w:val="none"/>
        </w:rPr>
        <mc:AlternateContent>
          <mc:Choice Requires="wpg">
            <w:drawing>
              <wp:inline xmlns:wp="http://schemas.openxmlformats.org/drawingml/2006/wordprocessingDrawing" distT="0" distB="0" distL="0" distR="0">
                <wp:extent cx="5273675" cy="2611120"/>
                <wp:effectExtent l="0" t="0" r="0" b="0"/>
                <wp:docPr id="9"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15"/>
                        <a:srcRect l="0" t="0" r="0" b="14828"/>
                        <a:stretch/>
                      </pic:blipFill>
                      <pic:spPr bwMode="auto">
                        <a:xfrm>
                          <a:off x="0" y="0"/>
                          <a:ext cx="5273675" cy="261112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2pt;height:205.6pt;mso-wrap-distance-left:0.0pt;mso-wrap-distance-top:0.0pt;mso-wrap-distance-right:0.0pt;mso-wrap-distance-bottom:0.0pt;" stroked="f">
                <v:path textboxrect="0,0,0,0"/>
                <v:imagedata r:id="rId15" o:title=""/>
              </v:shape>
            </w:pict>
          </mc:Fallback>
        </mc:AlternateContent>
      </w:r>
      <w:r/>
    </w:p>
    <w:p>
      <w:pPr>
        <w:ind w:firstLine="482"/>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三、运维服务清单</w:t>
      </w:r>
      <w:r/>
    </w:p>
    <w:tbl>
      <w:tblPr>
        <w:tblStyle w:val="675"/>
        <w:tblW w:w="71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89"/>
        <w:gridCol w:w="2355"/>
        <w:gridCol w:w="850"/>
        <w:gridCol w:w="850"/>
        <w:gridCol w:w="768"/>
      </w:tblGrid>
      <w:tr>
        <w:trPr>
          <w:jc w:val="center"/>
          <w:trHeight w:val="567"/>
          <w:tblHeader/>
        </w:trPr>
        <w:tc>
          <w:tcPr>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序号</w:t>
            </w:r>
            <w:r/>
          </w:p>
        </w:tc>
        <w:tc>
          <w:tcPr>
            <w:gridSpan w:val="2"/>
            <w:tcW w:w="394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项目内容</w:t>
            </w:r>
            <w:r/>
          </w:p>
        </w:tc>
        <w:tc>
          <w:tcPr>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val="en-US" w:eastAsia="zh-CN"/>
              </w:rPr>
              <w:t xml:space="preserve">数量</w:t>
            </w:r>
            <w:r/>
          </w:p>
        </w:tc>
        <w:tc>
          <w:tcPr>
            <w:tcW w:w="850" w:type="dxa"/>
            <w:vAlign w:val="center"/>
            <w:textDirection w:val="lrTb"/>
            <w:noWrap/>
          </w:tcPr>
          <w:p>
            <w:pPr>
              <w:ind w:left="0" w:right="0"/>
              <w:jc w:val="center"/>
              <w:keepLines w:val="0"/>
              <w:keepNext w:val="0"/>
              <w:spacing w:before="0" w:beforeAutospacing="0" w:after="0" w:afterAutospacing="0"/>
              <w:widowControl/>
              <w:rPr>
                <w:rFonts w:hint="default"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单位</w:t>
            </w:r>
            <w:r/>
          </w:p>
        </w:tc>
        <w:tc>
          <w:tcPr>
            <w:tcW w:w="7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备注</w:t>
            </w:r>
            <w:r/>
          </w:p>
        </w:tc>
      </w:tr>
      <w:tr>
        <w:trPr>
          <w:jc w:val="center"/>
          <w:trHeight w:val="567"/>
        </w:trPr>
        <w:tc>
          <w:tcPr>
            <w:tcW w:w="75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W w:w="158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真空井维修与耗材</w:t>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真空井本体</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1268</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个</w:t>
            </w:r>
            <w:r/>
          </w:p>
        </w:tc>
        <w:tc>
          <w:tcPr>
            <w:tcW w:w="76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58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真空阀</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7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58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作动器</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7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58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连接管</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7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58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真空井井盖</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7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w:t>
            </w:r>
            <w:r/>
          </w:p>
        </w:tc>
        <w:tc>
          <w:tcPr>
            <w:tcW w:w="158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真空站维修与耗材</w:t>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真空泵专用真空油</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个</w:t>
            </w:r>
            <w:r/>
          </w:p>
        </w:tc>
        <w:tc>
          <w:tcPr>
            <w:tcW w:w="76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58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真空泵皮带</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7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58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污水泵轴承</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7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58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抽风换气扇50W</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7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58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电气元件维保</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7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58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4G讯号传输费</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7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58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云端平台费用</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7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w:t>
            </w:r>
            <w:r/>
          </w:p>
        </w:tc>
        <w:tc>
          <w:tcPr>
            <w:tcW w:w="158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真空井及</w:t>
            </w:r>
            <w:r>
              <w:rPr>
                <w:rFonts w:hint="eastAsia" w:ascii="宋体" w:hAnsi="宋体" w:eastAsia="宋体" w:cs="宋体"/>
                <w:color w:val="auto"/>
                <w:sz w:val="24"/>
                <w:szCs w:val="24"/>
                <w:highlight w:val="none"/>
                <w:lang w:val="en-US" w:eastAsia="zh-CN"/>
              </w:rPr>
              <w:t xml:space="preserve">检查井清理</w:t>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真空井垃圾清除、清洗</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7686</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个</w:t>
            </w:r>
            <w:r/>
          </w:p>
        </w:tc>
        <w:tc>
          <w:tcPr>
            <w:tcW w:w="768"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r>
            <w:r/>
          </w:p>
        </w:tc>
      </w:tr>
      <w:tr>
        <w:trPr>
          <w:jc w:val="center"/>
          <w:trHeight w:val="567"/>
        </w:trPr>
        <w:tc>
          <w:tcPr>
            <w:tcW w:w="75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58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检查井</w:t>
            </w:r>
            <w:r>
              <w:rPr>
                <w:rFonts w:hint="eastAsia" w:ascii="宋体" w:hAnsi="宋体" w:eastAsia="宋体" w:cs="宋体"/>
                <w:color w:val="auto"/>
                <w:sz w:val="24"/>
                <w:szCs w:val="24"/>
                <w:highlight w:val="none"/>
              </w:rPr>
              <w:t xml:space="preserve">垃圾清除、清洗</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7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w:t>
            </w:r>
            <w:r/>
          </w:p>
        </w:tc>
        <w:tc>
          <w:tcPr>
            <w:tcW w:w="15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仿宋_GB2312" w:hAnsi="宋体" w:eastAsia="仿宋_GB2312" w:cs="宋体"/>
                <w:color w:val="auto"/>
                <w:sz w:val="24"/>
                <w:szCs w:val="24"/>
                <w:highlight w:val="none"/>
                <w:lang w:val="en-US" w:eastAsia="zh-CN"/>
              </w:rPr>
              <w:t xml:space="preserve">负压清扫器</w:t>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配件维保</w:t>
            </w:r>
            <w:r/>
          </w:p>
        </w:tc>
        <w:tc>
          <w:tcPr>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54</w:t>
            </w:r>
            <w:r/>
          </w:p>
        </w:tc>
        <w:tc>
          <w:tcPr>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个</w:t>
            </w:r>
            <w:r/>
          </w:p>
        </w:tc>
        <w:tc>
          <w:tcPr>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w:t>
            </w:r>
            <w:r/>
          </w:p>
        </w:tc>
        <w:tc>
          <w:tcPr>
            <w:tcW w:w="158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负压管道维修与耗材</w:t>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PEDN</w:t>
            </w:r>
            <w:r>
              <w:rPr>
                <w:rFonts w:hint="eastAsia" w:ascii="宋体" w:hAnsi="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lang w:val="en-US" w:eastAsia="zh-CN"/>
              </w:rPr>
              <w:t xml:space="preserve">-DN</w:t>
            </w:r>
            <w:r>
              <w:rPr>
                <w:rFonts w:hint="eastAsia" w:ascii="宋体" w:hAnsi="宋体" w:cs="宋体"/>
                <w:color w:val="auto"/>
                <w:sz w:val="24"/>
                <w:szCs w:val="24"/>
                <w:highlight w:val="none"/>
                <w:lang w:val="en-US" w:eastAsia="zh-CN"/>
              </w:rPr>
              <w:t xml:space="preserve">180</w:t>
            </w:r>
            <w:r>
              <w:rPr>
                <w:rFonts w:hint="eastAsia" w:ascii="宋体" w:hAnsi="宋体" w:eastAsia="宋体" w:cs="宋体"/>
                <w:color w:val="auto"/>
                <w:sz w:val="24"/>
                <w:szCs w:val="24"/>
                <w:highlight w:val="none"/>
                <w:lang w:val="en-US" w:eastAsia="zh-CN"/>
              </w:rPr>
              <w:t xml:space="preserve">管材</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72460</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米</w:t>
            </w:r>
            <w:r/>
          </w:p>
        </w:tc>
        <w:tc>
          <w:tcPr>
            <w:tcW w:w="76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58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管道保温棉</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7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58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分区阀</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7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5</w:t>
            </w:r>
            <w:r/>
          </w:p>
        </w:tc>
        <w:tc>
          <w:tcPr>
            <w:tcW w:w="158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污水提升泵站</w:t>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PLC控制模块</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座</w:t>
            </w:r>
            <w:r/>
          </w:p>
        </w:tc>
        <w:tc>
          <w:tcPr>
            <w:tcW w:w="76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58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电气元件维保</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7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58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污水泵维修</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7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58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云端平台费用</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7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w:t>
            </w:r>
            <w:r/>
          </w:p>
        </w:tc>
        <w:tc>
          <w:tcPr>
            <w:tcW w:w="158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重力管道及检查井维修与耗材</w:t>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UPVC实壁管DN</w:t>
            </w:r>
            <w:r>
              <w:rPr>
                <w:rFonts w:hint="eastAsia" w:ascii="宋体" w:hAnsi="宋体" w:cs="宋体"/>
                <w:color w:val="auto"/>
                <w:sz w:val="24"/>
                <w:szCs w:val="24"/>
                <w:highlight w:val="none"/>
                <w:lang w:val="en-US" w:eastAsia="zh-CN"/>
              </w:rPr>
              <w:t xml:space="preserve">110</w:t>
            </w:r>
            <w:r>
              <w:rPr>
                <w:rFonts w:hint="eastAsia" w:ascii="宋体" w:hAnsi="宋体" w:eastAsia="宋体" w:cs="宋体"/>
                <w:color w:val="auto"/>
                <w:sz w:val="24"/>
                <w:szCs w:val="24"/>
                <w:highlight w:val="none"/>
                <w:lang w:val="en-US" w:eastAsia="zh-CN"/>
              </w:rPr>
              <w:t xml:space="preserve">-315</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51778</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米</w:t>
            </w:r>
            <w:r/>
          </w:p>
        </w:tc>
        <w:tc>
          <w:tcPr>
            <w:tcW w:w="76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67"/>
        </w:trPr>
        <w:tc>
          <w:tcPr>
            <w:tcW w:w="75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589"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450检查井</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7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bl>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四、维护标准</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在运营维护服务期间，应按《室外真空排水系统工程技术规程》（CECS 316-2012）和以下要求提供服务：</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总体要求</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负责对服务对象提供包括：真空负压收集系统设备运维、软件系统运维、数据传输及资料管理、系统巡检等服务，并在</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val="en-US" w:eastAsia="zh-CN"/>
        </w:rPr>
        <w:t xml:space="preserve">总价范围内负责提供真空负压收集系统内耗材的补充及更换、零部件维修及更换、软件的更新及维护、数据的传输、数据资料的管理等所有涉及本项目的硬件及软件服务。</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负责提供系统维护（包括：数据接入、数据接口扩展、平台数据巡检、系统内数据及网络问题处理、软件功能性维护、软件性能维护、防病毒与安全维护、日常远程检查、日常巡检、日常维护保养、定期仪器校准等、数据辅助审核、技术培训）。</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真空负压收集系统的运维服务有其专业性，故要求供应商必须了解项目现场设备构造及运行原理，才可有效分析及预判运行状况，确保系统的稳定性。避免发生不当操作造成意外。</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作业要求</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日常巡检要求</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 日常远程检查：每日远程检查系统设备运行状态,检查数据传输系统是否正常，如发现数据有持续异常情况应立即前往站点进行检查，并按规定格式建立台账记录。</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 日常巡检：每周至少两次对系统设备（含真空负压动力中心站、真空负压井、自动真空负压清扫器、电控系统等）进行现场维护，现场维护的时间间隔不得大于72小时。现场维护内容包括：</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1.2.1 控制柜：检查人机界面能否正常显示、盘内外清洁、检查盘面信号灯泡明灭、检查电箱散热风扇是否正常、检查物联网是否正常。</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1.2.2 负压泵：检查运行状况是否正常、手动自动是否正常运行、驱动皮带检查。检查驱动皮带是否张力正常，必要时更换。</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1.2.3 污水泵：检查运行状况是否正常、手动自动是否正常运行。</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1.2.4 压力传感器：记录压力数据。</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1.2.5 排水流量计：记录累积流量数据。</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1.2.6 机房：检查泵站周围护栏是否完整、检查泵站各锁是否有被破坏、检查站内温度是否正常、检查泵站换气风扇是否正常运行、设备清洁及检查卫生情况，对维护造成的污染及时清理。</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1.2.7 真空负压井：检查是否有不正常运转的真空负压井。</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1.2.8 自动真空负压清扫器：检查是否有不正常运转的自动真空负压清扫器。</w:t>
      </w:r>
      <w:r/>
    </w:p>
    <w:p>
      <w:pPr>
        <w:ind w:firstLine="482"/>
        <w:jc w:val="both"/>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1.2.9 重力管道：检查是否有不正常运行的管道部分。</w:t>
      </w:r>
      <w:r/>
    </w:p>
    <w:p>
      <w:pPr>
        <w:ind w:firstLine="482"/>
        <w:jc w:val="both"/>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1.2.10</w:t>
      </w:r>
      <w:r>
        <w:rPr>
          <w:rFonts w:hint="eastAsia" w:ascii="宋体" w:hAnsi="宋体" w:cs="宋体"/>
          <w:b w:val="0"/>
          <w:bCs w:val="0"/>
          <w:color w:val="auto"/>
          <w:sz w:val="24"/>
          <w:szCs w:val="24"/>
          <w:highlight w:val="none"/>
          <w:lang w:val="en-US" w:eastAsia="zh-CN"/>
        </w:rPr>
        <w:t xml:space="preserve"> </w:t>
      </w:r>
      <w:r>
        <w:rPr>
          <w:rFonts w:hint="default" w:ascii="宋体" w:hAnsi="宋体" w:eastAsia="宋体" w:cs="宋体"/>
          <w:b w:val="0"/>
          <w:bCs w:val="0"/>
          <w:color w:val="auto"/>
          <w:sz w:val="24"/>
          <w:szCs w:val="24"/>
          <w:highlight w:val="none"/>
          <w:lang w:val="en-US" w:eastAsia="zh-CN"/>
        </w:rPr>
        <w:t xml:space="preserve">重力提升泵站</w:t>
      </w:r>
      <w:r>
        <w:rPr>
          <w:rFonts w:hint="eastAsia" w:ascii="宋体" w:hAnsi="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检查是否有不正常运行的提升泵站</w:t>
      </w:r>
      <w:r>
        <w:rPr>
          <w:rFonts w:hint="eastAsia" w:ascii="宋体" w:hAnsi="宋体" w:cs="宋体"/>
          <w:b w:val="0"/>
          <w:bCs w:val="0"/>
          <w:color w:val="auto"/>
          <w:sz w:val="24"/>
          <w:szCs w:val="24"/>
          <w:highlight w:val="none"/>
          <w:lang w:val="en-US" w:eastAsia="zh-CN"/>
        </w:rPr>
        <w:t xml:space="preserve">。</w:t>
      </w:r>
      <w:r/>
    </w:p>
    <w:p>
      <w:pPr>
        <w:ind w:firstLine="482"/>
        <w:jc w:val="both"/>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1.2.11</w:t>
      </w:r>
      <w:r>
        <w:rPr>
          <w:rFonts w:hint="eastAsia" w:ascii="宋体" w:hAnsi="宋体" w:cs="宋体"/>
          <w:b w:val="0"/>
          <w:bCs w:val="0"/>
          <w:color w:val="auto"/>
          <w:sz w:val="24"/>
          <w:szCs w:val="24"/>
          <w:highlight w:val="none"/>
          <w:lang w:val="en-US" w:eastAsia="zh-CN"/>
        </w:rPr>
        <w:t xml:space="preserve"> </w:t>
      </w:r>
      <w:r>
        <w:rPr>
          <w:rFonts w:hint="default" w:ascii="宋体" w:hAnsi="宋体" w:eastAsia="宋体" w:cs="宋体"/>
          <w:b w:val="0"/>
          <w:bCs w:val="0"/>
          <w:color w:val="auto"/>
          <w:sz w:val="24"/>
          <w:szCs w:val="24"/>
          <w:highlight w:val="none"/>
          <w:lang w:val="en-US" w:eastAsia="zh-CN"/>
        </w:rPr>
        <w:t xml:space="preserve">小型污水设施:检查是否有不正常运行的情况，每季度</w:t>
      </w:r>
      <w:r>
        <w:rPr>
          <w:rFonts w:hint="eastAsia" w:ascii="宋体" w:hAnsi="宋体" w:cs="宋体"/>
          <w:b w:val="0"/>
          <w:bCs w:val="0"/>
          <w:color w:val="auto"/>
          <w:sz w:val="24"/>
          <w:szCs w:val="24"/>
          <w:highlight w:val="none"/>
          <w:lang w:val="en-US" w:eastAsia="zh-CN"/>
        </w:rPr>
        <w:t xml:space="preserve">出具正式水质检测报告以备考核使用。</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 每月现场维护内容包括：</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1.3.1 控制柜：检查电力供应情况、检查实时数据与现场数据是否相符。</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1.3.2 负压泵：绝缘电阻检查、运转电流检查、真空油位检查、检查真空油换油时间是否到达，必要时更换。</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1.3.3 污水泵：绝缘电阻检查、运转电流检查。</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1.3.4 压力传感器：观察仪器运行过程是否正常，必要时进行清洗校正。</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1.3.5 排水流量计：观察仪器运行过程是否正常，必要时进行清洗校正。</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1.3.6 机房：进行机房内管路状况检查、检查站内管道阀门等是否正常。</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1.3.7 每月至少对云端监控管理系统的数据存储/控制系统工作状态进行一次检查。</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1.3.8 真空负压井：检查真空负压井压力值是否正常、检查内部管道阀门等是否正常、检查真空负压井是否抽完、检查液位是否正常。</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1.3.9 自动真空负压清扫器：检查压力表是否正常运行、记录压力数据检查、检查补气量是否正常、检查手动阀是否正常运行、检查软管是否脱落。</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1.3.10真空站拦污装置：清洁真空站拦污装置及检查卫生情况。</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 每个季度现场维护内容：</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1.4.1 负压泵：检查驱动皮带是否张力正常，必要时更换。</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 每半年现场维护内容：</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1.5.1 负压泵：真空油位检查、检查真空油换油时间是否到达，必要时更换。（真空油约每半年更换一次）</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1.5.2 真空负压井：清洁真空负压井及检查卫生情况。</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 每年现场维护内容：</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1.6.1 污水泵轴封：观察污水泵运行过程是否正常，必要时进行轴封更换。</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1.6.2 压力传感器：观察仪器运行过程是否正常，必要时进行清洗校正。（约每年清洗校正一次）</w:t>
      </w:r>
      <w:r/>
    </w:p>
    <w:p>
      <w:pPr>
        <w:ind w:firstLine="482"/>
        <w:jc w:val="both"/>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1.6.3 排水流量计：观察仪器运行过程是否正常，必要时进行清洗校正。（约每年清洗校正一次）</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1.6.4</w:t>
      </w:r>
      <w:r>
        <w:rPr>
          <w:rFonts w:hint="eastAsia" w:ascii="宋体" w:hAnsi="宋体" w:eastAsia="宋体" w:cs="宋体"/>
          <w:b w:val="0"/>
          <w:bCs w:val="0"/>
          <w:color w:val="auto"/>
          <w:sz w:val="24"/>
          <w:szCs w:val="24"/>
          <w:highlight w:val="none"/>
          <w:lang w:val="en-US" w:eastAsia="zh-CN"/>
        </w:rPr>
        <w:t xml:space="preserve"> 真空负压井：检查作动控制器及真空阀隔膜是否有老化现象，运行过程是否正常，必要时进行更换。</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必须自备运营维护服务期间内的所有耗材供应，定期更换之耗材需满足项目现场系统设备之规定规格，确保更换耗材后系统持续稳定运行。主要耗材列表如下：</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.1 同款同型号之负压泵真空油。</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.2 同款同型号之负压泵驱动皮带。</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.3 同款同型号之污水泵轴封。</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.4 同款同型号之真空负压井作动控制器隔膜。</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.5 同款同型号之真空负压井真空阀隔膜。</w:t>
      </w:r>
      <w:r/>
    </w:p>
    <w:p>
      <w:pPr>
        <w:ind w:firstLine="482"/>
        <w:jc w:val="both"/>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1.7.6</w:t>
      </w:r>
      <w:r>
        <w:rPr>
          <w:rFonts w:hint="eastAsia" w:ascii="宋体" w:hAnsi="宋体" w:eastAsia="宋体" w:cs="宋体"/>
          <w:b w:val="0"/>
          <w:bCs w:val="0"/>
          <w:color w:val="auto"/>
          <w:sz w:val="24"/>
          <w:szCs w:val="24"/>
          <w:highlight w:val="none"/>
          <w:lang w:val="en-US" w:eastAsia="zh-CN"/>
        </w:rPr>
        <w:t xml:space="preserve">同款同型号之</w:t>
      </w:r>
      <w:r>
        <w:rPr>
          <w:rFonts w:hint="eastAsia" w:ascii="宋体" w:hAnsi="宋体" w:cs="宋体"/>
          <w:b w:val="0"/>
          <w:bCs w:val="0"/>
          <w:color w:val="auto"/>
          <w:sz w:val="24"/>
          <w:szCs w:val="24"/>
          <w:highlight w:val="none"/>
          <w:lang w:val="en-US" w:eastAsia="zh-CN"/>
        </w:rPr>
        <w:t xml:space="preserve">重力提升泵站的所有耗材。</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备注：以上耗材更换周期，</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需依据设备系统规范及现场实际状况判断，进行合理周期性的更换。无列出的耗材</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需自行评估项目现场系统需求，应当自备，所需耗材费用由</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自行承担，采购人无需再支付任何费用。</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 软件系统、真空负压动力中心站设备端云端平台，由</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自行取得系统授权，均由</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负责运营维护，所需费用由</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自行承担。（包括但不局限：数据传输、数据资料管理、数据接入、数据接口扩展、平台数据巡检、数据监控及判读、系统内数据及网络问题处理、软件功能性维护、软件性能维护、物联网传输平台及云端平台维护、防病毒与安全维护、日常远程检查）</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备注：采购方项目公司提供专用定向流量卡。</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9 </w:t>
      </w:r>
      <w:r>
        <w:rPr>
          <w:rFonts w:hint="eastAsia" w:ascii="宋体" w:hAnsi="宋体" w:eastAsia="宋体" w:cs="宋体"/>
          <w:b w:val="0"/>
          <w:bCs w:val="0"/>
          <w:color w:val="auto"/>
          <w:sz w:val="24"/>
          <w:szCs w:val="24"/>
          <w:highlight w:val="none"/>
          <w:lang w:val="en-US" w:eastAsia="zh-CN"/>
        </w:rPr>
        <w:t xml:space="preserve">重力部分运维</w:t>
      </w:r>
      <w:r/>
    </w:p>
    <w:p>
      <w:pPr>
        <w:ind w:firstLine="482"/>
        <w:jc w:val="both"/>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1.9.1 </w:t>
      </w:r>
      <w:r>
        <w:rPr>
          <w:rFonts w:hint="eastAsia" w:ascii="宋体" w:hAnsi="宋体" w:eastAsia="宋体" w:cs="宋体"/>
          <w:b w:val="0"/>
          <w:bCs w:val="0"/>
          <w:color w:val="auto"/>
          <w:sz w:val="24"/>
          <w:szCs w:val="24"/>
          <w:highlight w:val="none"/>
          <w:lang w:val="en-US" w:eastAsia="zh-CN"/>
        </w:rPr>
        <w:t xml:space="preserve">重力管道日常维修与更换</w:t>
      </w:r>
      <w:r>
        <w:rPr>
          <w:rFonts w:hint="eastAsia" w:ascii="宋体" w:hAnsi="宋体" w:cs="宋体"/>
          <w:b w:val="0"/>
          <w:bCs w:val="0"/>
          <w:color w:val="auto"/>
          <w:sz w:val="24"/>
          <w:szCs w:val="24"/>
          <w:highlight w:val="none"/>
          <w:lang w:val="en-US"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9.2 </w:t>
      </w:r>
      <w:r>
        <w:rPr>
          <w:rFonts w:hint="eastAsia" w:ascii="宋体" w:hAnsi="宋体" w:eastAsia="宋体" w:cs="宋体"/>
          <w:b w:val="0"/>
          <w:bCs w:val="0"/>
          <w:color w:val="auto"/>
          <w:sz w:val="24"/>
          <w:szCs w:val="24"/>
          <w:highlight w:val="none"/>
          <w:lang w:val="en-US" w:eastAsia="zh-CN"/>
        </w:rPr>
        <w:t xml:space="preserve">重力提升泵站的日常维修与耗材更换</w:t>
      </w:r>
      <w:r>
        <w:rPr>
          <w:rFonts w:hint="eastAsia" w:ascii="宋体" w:hAnsi="宋体" w:cs="宋体"/>
          <w:b w:val="0"/>
          <w:bCs w:val="0"/>
          <w:color w:val="auto"/>
          <w:sz w:val="24"/>
          <w:szCs w:val="24"/>
          <w:highlight w:val="none"/>
          <w:lang w:val="en-US"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应急措施要求</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 当有故障发生（包括系统设备故障、软件系统问题、数据通讯传输、物联网及云端监控管理系统等）时，保证在 1 小时内响应，2 小时内到达现场进行维修，24 小时内排除故障。对不易诊断和维修的设备故障，72 小时内无法排除，则安装与该设备同款同型号及技术指标相一致的备品以保证设备正常运行。</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 若真空负压井内作动控制器及真空阀故障，4 小时内修复或者更换备用同款同型号的备品。</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 因不可抗力因素造成系统设备损坏（如地震、洪涝或雷击等），需负责检修。</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 当出现雷暴极端天气后，保证及时对站点系统设备工作情况进行现场巡检，保证系统设备能正常运行。</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 故障设备的检修</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2.5.1 根据待维修设备的维修手册要求，制定常见故障的判断和检修方法及程序。</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2.5.2 对现场不能修复的设备，能够在故障发现后使用同款同型号备用设备替代测试，并对投入使用的备用设备进行校准和标定，在完成有效性检查后详细记录设备故障和维修记录并及时通报采购方项目管理负责人。</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2.5.3 保证建立站点系统设备的档案，记录其运行、维护、维修及更换状况。</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 </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需承担备品备件费用并按要求准备备品备件保持系统正常运行。</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必须自备主要备品数量列表如下：</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2.6.1 同款同型号之真空负压井真空阀。</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2.6.2 同款同型号之真空负压井作动控制器。</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2.6.3 同款同型号之真空负压井气体连接管。</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2.6.4 同款同型号之真空负压井真空阀计数侦测器。</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2.6.5 同款同型号之污水泵叶轮。</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2.6.6 同款同型号之真空负压动力中心站抽风换气扇。</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2.6.7 同款同型号之真空负压动力中心站电盘组件（无熔丝开关、RELAY）。</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2.6.8 自动真空负压清扫器压力表。</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2.7 所有备品的消耗，</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需做好运营维护记录并及时通报采购方项目管理负责人。</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2.8 </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禁止以备品数量不足为理由，而此拒绝项目现场运营维护维修等工作。</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应自行额外准备数量充足的备品，确保排除故障的时效性。</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2.9 在运营维护服务期间，</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的操作维护检修机具、仪器、手工具，</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需自备，所需费用由</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自行承担，采购人无需再支付任何费用。</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运营维护服务拟投入人员</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 供应商在项目所在镇区已有成立运营维护服务机构。</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 本项目运营维护服务期间至少配备现场巡查服务人员及现场管理人员详见下表：</w:t>
      </w:r>
      <w:r/>
    </w:p>
    <w:p>
      <w:pPr>
        <w:ind w:firstLine="482"/>
        <w:jc w:val="both"/>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备注：服务人员按照本项目要求，至少包含项目负责人(安全管理人员)、巡查人员、维保人员（电工）。</w:t>
      </w:r>
      <w:r>
        <w:rPr>
          <w:rFonts w:hint="eastAsia" w:ascii="宋体" w:hAnsi="宋体" w:cs="宋体"/>
          <w:b w:val="0"/>
          <w:bCs w:val="0"/>
          <w:color w:val="auto"/>
          <w:sz w:val="24"/>
          <w:szCs w:val="24"/>
          <w:highlight w:val="none"/>
          <w:lang w:val="en-US" w:eastAsia="zh-CN"/>
        </w:rPr>
        <w:t xml:space="preserve">现场需至少4名负压专业技术人员驻场。</w:t>
      </w:r>
      <w:r/>
    </w:p>
    <w:tbl>
      <w:tblPr>
        <w:tblStyle w:val="6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876"/>
        <w:gridCol w:w="1677"/>
        <w:gridCol w:w="4282"/>
        <w:gridCol w:w="1190"/>
      </w:tblGrid>
      <w:tr>
        <w:trPr>
          <w:jc w:val="center"/>
        </w:trPr>
        <w:tc>
          <w:tcPr>
            <w:tcW w:w="8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序号</w:t>
            </w:r>
            <w:r/>
          </w:p>
        </w:tc>
        <w:tc>
          <w:tcPr>
            <w:tcW w:w="8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人数</w:t>
            </w:r>
            <w:r/>
          </w:p>
        </w:tc>
        <w:tc>
          <w:tcPr>
            <w:tcW w:w="167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岗位</w:t>
            </w:r>
            <w:r/>
          </w:p>
        </w:tc>
        <w:tc>
          <w:tcPr>
            <w:tcW w:w="428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工作内容</w:t>
            </w:r>
            <w:r/>
          </w:p>
        </w:tc>
        <w:tc>
          <w:tcPr>
            <w:tcW w:w="119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工作时间</w:t>
            </w:r>
            <w:r/>
          </w:p>
        </w:tc>
      </w:tr>
      <w:tr>
        <w:trPr>
          <w:jc w:val="center"/>
          <w:trHeight w:val="881"/>
        </w:trPr>
        <w:tc>
          <w:tcPr>
            <w:tcW w:w="8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w:t>
            </w:r>
            <w:r/>
          </w:p>
        </w:tc>
        <w:tc>
          <w:tcPr>
            <w:tcW w:w="8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1</w:t>
            </w:r>
            <w:r/>
          </w:p>
        </w:tc>
        <w:tc>
          <w:tcPr>
            <w:tcW w:w="167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项目负责人（</w:t>
            </w:r>
            <w:r>
              <w:rPr>
                <w:rFonts w:hint="eastAsia" w:ascii="宋体" w:hAnsi="宋体" w:cs="宋体"/>
                <w:color w:val="auto"/>
                <w:sz w:val="24"/>
                <w:szCs w:val="24"/>
                <w:highlight w:val="none"/>
                <w:lang w:val="en-US" w:eastAsia="zh-CN"/>
              </w:rPr>
              <w:t xml:space="preserve">安全管理人员</w:t>
            </w:r>
            <w:r>
              <w:rPr>
                <w:rFonts w:hint="eastAsia" w:ascii="宋体" w:hAnsi="宋体" w:eastAsia="宋体" w:cs="宋体"/>
                <w:color w:val="auto"/>
                <w:sz w:val="24"/>
                <w:szCs w:val="24"/>
                <w:highlight w:val="none"/>
                <w:lang w:val="en-US" w:eastAsia="zh-CN"/>
              </w:rPr>
              <w:t xml:space="preserve">）</w:t>
            </w:r>
            <w:r/>
          </w:p>
        </w:tc>
        <w:tc>
          <w:tcPr>
            <w:tcW w:w="428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竞争性磋商文件及响应文件承诺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响应条款及采购人的工作安排</w:t>
            </w:r>
            <w:r>
              <w:rPr>
                <w:rFonts w:hint="eastAsia" w:ascii="宋体" w:hAnsi="宋体" w:eastAsia="宋体" w:cs="宋体"/>
                <w:color w:val="auto"/>
                <w:sz w:val="24"/>
                <w:szCs w:val="24"/>
                <w:highlight w:val="none"/>
                <w:lang w:val="en-US" w:eastAsia="zh-CN"/>
              </w:rPr>
              <w:t xml:space="preserve">对项目整体运维质量和安全负责，包括不限于</w:t>
            </w:r>
            <w:r>
              <w:rPr>
                <w:rFonts w:hint="eastAsia" w:ascii="宋体" w:hAnsi="宋体" w:eastAsia="宋体" w:cs="宋体"/>
                <w:color w:val="auto"/>
                <w:sz w:val="24"/>
                <w:szCs w:val="24"/>
                <w:highlight w:val="none"/>
              </w:rPr>
              <w:t xml:space="preserve">对拟投入人员进行</w:t>
            </w:r>
            <w:r>
              <w:rPr>
                <w:rFonts w:hint="eastAsia" w:ascii="宋体" w:hAnsi="宋体" w:eastAsia="宋体" w:cs="宋体"/>
                <w:color w:val="auto"/>
                <w:sz w:val="24"/>
                <w:szCs w:val="24"/>
                <w:highlight w:val="none"/>
                <w:lang w:val="en-US" w:eastAsia="zh-CN"/>
              </w:rPr>
              <w:t xml:space="preserve">管理和</w:t>
            </w:r>
            <w:r>
              <w:rPr>
                <w:rFonts w:hint="eastAsia" w:ascii="宋体" w:hAnsi="宋体" w:eastAsia="宋体" w:cs="宋体"/>
                <w:color w:val="auto"/>
                <w:sz w:val="24"/>
                <w:szCs w:val="24"/>
                <w:highlight w:val="none"/>
              </w:rPr>
              <w:t xml:space="preserve">定期培训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配合项目公司运营维护服务事务</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tc>
        <w:tc>
          <w:tcPr>
            <w:tcW w:w="119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24 小时</w:t>
            </w:r>
            <w:r/>
          </w:p>
        </w:tc>
      </w:tr>
      <w:tr>
        <w:trPr>
          <w:jc w:val="center"/>
        </w:trPr>
        <w:tc>
          <w:tcPr>
            <w:tcW w:w="8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w:t>
            </w:r>
            <w:r/>
          </w:p>
        </w:tc>
        <w:tc>
          <w:tcPr>
            <w:tcW w:w="8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4</w:t>
            </w:r>
            <w:r/>
          </w:p>
        </w:tc>
        <w:tc>
          <w:tcPr>
            <w:tcW w:w="167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巡查岗</w:t>
            </w:r>
            <w:r/>
          </w:p>
        </w:tc>
        <w:tc>
          <w:tcPr>
            <w:tcW w:w="428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outlineLvl w:val="9"/>
              <w:suppressLineNumbers w:val="0"/>
            </w:pPr>
            <w:r>
              <w:rPr>
                <w:rFonts w:hint="eastAsia" w:ascii="宋体" w:hAnsi="宋体" w:eastAsia="宋体" w:cs="宋体"/>
                <w:color w:val="auto"/>
                <w:sz w:val="24"/>
                <w:szCs w:val="24"/>
                <w:highlight w:val="none"/>
              </w:rPr>
              <w:t xml:space="preserve">根据竞争性磋商文件</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相关规定和规范要求对运维区域进行巡查</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保质保量完成相应工作内容，</w:t>
            </w:r>
            <w:r>
              <w:rPr>
                <w:rFonts w:hint="eastAsia" w:ascii="宋体" w:hAnsi="宋体" w:eastAsia="宋体" w:cs="宋体"/>
                <w:color w:val="auto"/>
                <w:sz w:val="24"/>
                <w:szCs w:val="24"/>
                <w:highlight w:val="none"/>
                <w:lang w:val="en-US" w:eastAsia="zh-CN"/>
              </w:rPr>
              <w:t xml:space="preserve">根据采购方要求过程中做好运维记录台账</w:t>
            </w:r>
            <w:r>
              <w:rPr>
                <w:rFonts w:hint="eastAsia" w:ascii="宋体" w:hAnsi="宋体" w:eastAsia="宋体" w:cs="宋体"/>
                <w:color w:val="auto"/>
                <w:sz w:val="24"/>
                <w:szCs w:val="24"/>
                <w:highlight w:val="none"/>
              </w:rPr>
              <w:t xml:space="preserve">，并参与相关技术培训。</w:t>
            </w:r>
            <w:r/>
          </w:p>
        </w:tc>
        <w:tc>
          <w:tcPr>
            <w:tcW w:w="119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24 小时</w:t>
            </w:r>
            <w:r/>
          </w:p>
        </w:tc>
      </w:tr>
      <w:tr>
        <w:trPr>
          <w:jc w:val="center"/>
          <w:trHeight w:val="699"/>
        </w:trPr>
        <w:tc>
          <w:tcPr>
            <w:tcW w:w="8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3</w:t>
            </w:r>
            <w:r/>
          </w:p>
        </w:tc>
        <w:tc>
          <w:tcPr>
            <w:tcW w:w="8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rPr>
              <w:t xml:space="preserve">3</w:t>
            </w:r>
            <w:r/>
          </w:p>
        </w:tc>
        <w:tc>
          <w:tcPr>
            <w:tcW w:w="167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outlineLvl w:val="9"/>
              <w:suppressLineNumbers w:val="0"/>
            </w:pPr>
            <w:r>
              <w:rPr>
                <w:rFonts w:hint="eastAsia" w:ascii="宋体" w:hAnsi="宋体" w:eastAsia="宋体" w:cs="宋体"/>
                <w:color w:val="auto"/>
                <w:sz w:val="24"/>
                <w:szCs w:val="24"/>
                <w:highlight w:val="none"/>
                <w:lang w:val="en-US" w:eastAsia="zh-CN"/>
              </w:rPr>
              <w:t xml:space="preserve">维保</w:t>
            </w:r>
            <w:r>
              <w:rPr>
                <w:rFonts w:hint="eastAsia" w:ascii="宋体" w:hAnsi="宋体" w:eastAsia="宋体" w:cs="宋体"/>
                <w:color w:val="auto"/>
                <w:sz w:val="24"/>
                <w:szCs w:val="24"/>
                <w:highlight w:val="none"/>
              </w:rPr>
              <w:t xml:space="preserve">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含1名电工</w:t>
            </w:r>
            <w:r>
              <w:rPr>
                <w:rFonts w:hint="eastAsia" w:ascii="宋体" w:hAnsi="宋体" w:eastAsia="宋体" w:cs="宋体"/>
                <w:color w:val="auto"/>
                <w:sz w:val="24"/>
                <w:szCs w:val="24"/>
                <w:highlight w:val="none"/>
                <w:lang w:eastAsia="zh-CN"/>
              </w:rPr>
              <w:t xml:space="preserve">）</w:t>
            </w:r>
            <w:r/>
          </w:p>
        </w:tc>
        <w:tc>
          <w:tcPr>
            <w:tcW w:w="428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根据竞争性磋商文件要求对运维区域</w:t>
            </w:r>
            <w:r>
              <w:rPr>
                <w:rFonts w:hint="eastAsia" w:ascii="宋体" w:hAnsi="宋体" w:eastAsia="宋体" w:cs="宋体"/>
                <w:color w:val="auto"/>
                <w:sz w:val="24"/>
                <w:szCs w:val="24"/>
                <w:highlight w:val="none"/>
                <w:lang w:val="en-US" w:eastAsia="zh-CN"/>
              </w:rPr>
              <w:t xml:space="preserve">开展日常维修保养工作，做好维保记录台账，确保负压系统始终处于良好运行状态。</w:t>
            </w:r>
            <w:r/>
          </w:p>
        </w:tc>
        <w:tc>
          <w:tcPr>
            <w:tcW w:w="119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24 小时</w:t>
            </w:r>
            <w:r/>
          </w:p>
        </w:tc>
      </w:tr>
    </w:tbl>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以上人员应根据采购人要求做好考勤工作，每周上报考勤、驻点、值班等情况</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电工等特殊工种，应具有相关部门颁发的有效证件，并做到持证上岗</w:t>
      </w:r>
      <w:r>
        <w:rPr>
          <w:rFonts w:hint="eastAsia" w:ascii="宋体" w:hAnsi="宋体" w:cs="宋体"/>
          <w:b w:val="0"/>
          <w:bCs w:val="0"/>
          <w:color w:val="auto"/>
          <w:sz w:val="24"/>
          <w:szCs w:val="24"/>
          <w:highlight w:val="none"/>
          <w:lang w:val="en-US"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运营维护要求</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4.1本项目每个真空站拦污装置产生的污染物，成交供应商须按照相关环保要求进行处理，所需费用由成交供应商自行承担，采购人无需再支付任何费用。并接受采购人及上级主管部门的监督检查。</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4.2如运维区域发生真空负压管路有破损或有漏气、设备发生故障等全部运行异常现象，成交供应商须按照招标人和相关环保要求组织资源立即完成修复，确保不发生安全和环保事件，所需费用由成交供应商自行承担，采购人无需再支付任何费用。并接受采购人及上级主管部门的监督检查。</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4.3本项目采购所有成套设备要求数据能够接入至真空负压收集系统的平台，并保证传输过程中不出故障，供应商须对此进行书面承诺，并且该承诺作为合同的组成部分。</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4.4因各级检查频繁，要求</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val="en-US" w:eastAsia="zh-CN"/>
        </w:rPr>
        <w:t xml:space="preserve">能够按照业主要求一同应对各类现场检查，随叫随到，不得以任何理由推诿，否则做相应处罚。</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对于</w:t>
      </w:r>
      <w:r>
        <w:rPr>
          <w:rFonts w:hint="eastAsia" w:ascii="宋体" w:hAnsi="宋体" w:cs="宋体"/>
          <w:b/>
          <w:bCs/>
          <w:color w:val="auto"/>
          <w:sz w:val="24"/>
          <w:szCs w:val="24"/>
          <w:highlight w:val="none"/>
          <w:lang w:val="en-US" w:eastAsia="zh-CN"/>
        </w:rPr>
        <w:t xml:space="preserve">“四、维护标准”中</w:t>
      </w:r>
      <w:r>
        <w:rPr>
          <w:rFonts w:hint="eastAsia" w:ascii="宋体" w:hAnsi="宋体" w:eastAsia="宋体" w:cs="宋体"/>
          <w:b/>
          <w:bCs/>
          <w:color w:val="auto"/>
          <w:sz w:val="24"/>
          <w:szCs w:val="24"/>
          <w:highlight w:val="none"/>
          <w:lang w:val="en-US" w:eastAsia="zh-CN"/>
        </w:rPr>
        <w:t xml:space="preserve">涉及的条款，供应商须承诺无负偏离项，</w:t>
      </w:r>
      <w:r>
        <w:rPr>
          <w:rFonts w:hint="eastAsia" w:ascii="宋体" w:hAnsi="宋体" w:cs="宋体"/>
          <w:b/>
          <w:bCs/>
          <w:color w:val="auto"/>
          <w:sz w:val="24"/>
          <w:szCs w:val="24"/>
          <w:highlight w:val="none"/>
          <w:lang w:val="en-US" w:eastAsia="zh-CN"/>
        </w:rPr>
        <w:t xml:space="preserve">填写在“技术要求响应及偏离表”中（条款级别示例：1.1 日常远程检查），实施</w:t>
      </w:r>
      <w:r>
        <w:rPr>
          <w:rFonts w:hint="eastAsia" w:ascii="宋体" w:hAnsi="宋体" w:eastAsia="宋体" w:cs="宋体"/>
          <w:b/>
          <w:bCs/>
          <w:color w:val="auto"/>
          <w:sz w:val="24"/>
          <w:szCs w:val="24"/>
          <w:highlight w:val="none"/>
          <w:lang w:val="en-US" w:eastAsia="zh-CN"/>
        </w:rPr>
        <w:t xml:space="preserve">时有负偏离项不超过2条的，给予成交供应商一次整改机会，若整改后仍不满足或负偏离项大于等于3条的，则采购人将终止合同</w:t>
      </w:r>
      <w:r>
        <w:rPr>
          <w:rFonts w:hint="eastAsia" w:ascii="宋体" w:hAnsi="宋体" w:cs="宋体"/>
          <w:b/>
          <w:bCs/>
          <w:color w:val="auto"/>
          <w:sz w:val="24"/>
          <w:szCs w:val="24"/>
          <w:highlight w:val="none"/>
          <w:lang w:val="en-US" w:eastAsia="zh-CN"/>
        </w:rPr>
        <w:t xml:space="preserve">，后果由成交供应商承担</w:t>
      </w:r>
      <w:r>
        <w:rPr>
          <w:rFonts w:hint="eastAsia" w:ascii="宋体" w:hAnsi="宋体" w:eastAsia="宋体" w:cs="宋体"/>
          <w:b/>
          <w:bCs/>
          <w:color w:val="auto"/>
          <w:sz w:val="24"/>
          <w:szCs w:val="24"/>
          <w:highlight w:val="none"/>
          <w:lang w:val="en-US"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质量保证及售后服务</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1、采购人提出了最低限度的技术要求，并未对全部技术细节做出详细规定，也未充分引用有关标准和规范性的条文，供应商向采购人提供的服务必须满足国家有关安全、环保等强制性标准、符合</w:t>
      </w:r>
      <w:r>
        <w:rPr>
          <w:rFonts w:hint="eastAsia" w:ascii="宋体" w:hAnsi="宋体" w:cs="宋体"/>
          <w:b w:val="0"/>
          <w:bCs w:val="0"/>
          <w:color w:val="auto"/>
          <w:sz w:val="24"/>
          <w:szCs w:val="24"/>
          <w:highlight w:val="none"/>
          <w:lang w:val="en-US" w:eastAsia="zh-CN"/>
        </w:rPr>
        <w:t xml:space="preserve">磋商文件</w:t>
      </w:r>
      <w:r>
        <w:rPr>
          <w:rFonts w:hint="eastAsia" w:ascii="宋体" w:hAnsi="宋体" w:eastAsia="宋体" w:cs="宋体"/>
          <w:b w:val="0"/>
          <w:bCs w:val="0"/>
          <w:color w:val="auto"/>
          <w:sz w:val="24"/>
          <w:szCs w:val="24"/>
          <w:highlight w:val="none"/>
          <w:lang w:val="en-US" w:eastAsia="zh-CN"/>
        </w:rPr>
        <w:t xml:space="preserve">要求和相应工业规范标准。</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2、除国家有其他相应特殊技术规范外，供应商所提供设备的零件、部件应符合本</w:t>
      </w:r>
      <w:r>
        <w:rPr>
          <w:rFonts w:hint="eastAsia" w:ascii="宋体" w:hAnsi="宋体" w:cs="宋体"/>
          <w:b w:val="0"/>
          <w:bCs w:val="0"/>
          <w:color w:val="auto"/>
          <w:sz w:val="24"/>
          <w:szCs w:val="24"/>
          <w:highlight w:val="none"/>
          <w:lang w:val="en-US" w:eastAsia="zh-CN"/>
        </w:rPr>
        <w:t xml:space="preserve">磋商文件</w:t>
      </w:r>
      <w:r>
        <w:rPr>
          <w:rFonts w:hint="eastAsia" w:ascii="宋体" w:hAnsi="宋体" w:eastAsia="宋体" w:cs="宋体"/>
          <w:b w:val="0"/>
          <w:bCs w:val="0"/>
          <w:color w:val="auto"/>
          <w:sz w:val="24"/>
          <w:szCs w:val="24"/>
          <w:highlight w:val="none"/>
          <w:lang w:val="en-US" w:eastAsia="zh-CN"/>
        </w:rPr>
        <w:t xml:space="preserve">的要求。供应商应提供所有设备及其零部件制造商的名称、产地及产品的性能及其它相关重要资料。招标人有权拒绝不符合</w:t>
      </w:r>
      <w:r>
        <w:rPr>
          <w:rFonts w:hint="eastAsia" w:ascii="宋体" w:hAnsi="宋体" w:cs="宋体"/>
          <w:b w:val="0"/>
          <w:bCs w:val="0"/>
          <w:color w:val="auto"/>
          <w:sz w:val="24"/>
          <w:szCs w:val="24"/>
          <w:highlight w:val="none"/>
          <w:lang w:val="en-US" w:eastAsia="zh-CN"/>
        </w:rPr>
        <w:t xml:space="preserve">磋商文件</w:t>
      </w:r>
      <w:r>
        <w:rPr>
          <w:rFonts w:hint="eastAsia" w:ascii="宋体" w:hAnsi="宋体" w:eastAsia="宋体" w:cs="宋体"/>
          <w:b w:val="0"/>
          <w:bCs w:val="0"/>
          <w:color w:val="auto"/>
          <w:sz w:val="24"/>
          <w:szCs w:val="24"/>
          <w:highlight w:val="none"/>
          <w:lang w:val="en-US" w:eastAsia="zh-CN"/>
        </w:rPr>
        <w:t xml:space="preserve">规定的产品，并要求供应商在不追加任何费用的前提下更换、修正。</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3、对于供应商维保质量不符合要求的，采购人先通知整改，供应商在规定时间内不整改的或整改不符合要求的，由采购人另派其他队伍整改，费用在供应商维保费中扣除。</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4、供应商须对所提供的设备自验收合格之日起提供一年质保。</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、报价要求</w:t>
      </w:r>
      <w:r/>
    </w:p>
    <w:p>
      <w:pPr>
        <w:ind w:firstLine="482"/>
        <w:jc w:val="both"/>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投标供应商的投标报价包含但不限于</w:t>
      </w:r>
      <w:r>
        <w:rPr>
          <w:rFonts w:hint="eastAsia" w:ascii="宋体" w:hAnsi="宋体" w:cs="宋体"/>
          <w:color w:val="auto"/>
          <w:sz w:val="24"/>
          <w:szCs w:val="24"/>
          <w:highlight w:val="none"/>
          <w:lang w:val="en-US" w:eastAsia="zh-CN"/>
        </w:rPr>
        <w:t xml:space="preserve">材料、设备、人员工资、职工培训费、奖金、体检费、</w:t>
      </w:r>
      <w:r>
        <w:rPr>
          <w:rFonts w:hint="eastAsia" w:ascii="宋体" w:hAnsi="宋体" w:eastAsia="宋体" w:cs="宋体"/>
          <w:color w:val="auto"/>
          <w:sz w:val="24"/>
          <w:szCs w:val="24"/>
          <w:highlight w:val="none"/>
          <w:lang w:val="en-US" w:eastAsia="zh-CN"/>
        </w:rPr>
        <w:t xml:space="preserve">各种加班费、夜餐费、</w:t>
      </w:r>
      <w:r>
        <w:rPr>
          <w:rFonts w:hint="eastAsia" w:ascii="宋体" w:hAnsi="宋体" w:cs="宋体"/>
          <w:color w:val="auto"/>
          <w:sz w:val="24"/>
          <w:szCs w:val="24"/>
          <w:highlight w:val="none"/>
          <w:lang w:val="en-US" w:eastAsia="zh-CN"/>
        </w:rPr>
        <w:t xml:space="preserve">各种社会保险与福利、食宿与交通、工具、器材、服装、安全、仓储、维修、管理费用、税费、利润等完成合同所需的一切本身和不可或缺的所有工作开支、政策性文件规定及合同包含的所有风险、责任等各项全部费用（并承担一切风险责</w:t>
      </w:r>
      <w:r>
        <w:rPr>
          <w:rFonts w:hint="eastAsia" w:ascii="宋体" w:hAnsi="宋体" w:cs="宋体"/>
          <w:color w:val="auto"/>
          <w:sz w:val="24"/>
          <w:szCs w:val="24"/>
          <w:highlight w:val="none"/>
        </w:rPr>
        <w:t xml:space="preserve">任）。</w:t>
      </w:r>
      <w:r/>
    </w:p>
    <w:p>
      <w:pPr>
        <w:ind w:firstLine="482"/>
        <w:jc w:val="both"/>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七、运维期及</w:t>
      </w:r>
      <w:r>
        <w:rPr>
          <w:rFonts w:hint="eastAsia" w:ascii="宋体" w:hAnsi="宋体" w:cs="宋体"/>
          <w:b/>
          <w:bCs/>
          <w:color w:val="auto"/>
          <w:sz w:val="24"/>
          <w:szCs w:val="24"/>
          <w:highlight w:val="none"/>
        </w:rPr>
        <w:t xml:space="preserve">支付方式</w:t>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1、运维期：</w:t>
      </w:r>
      <w:r>
        <w:rPr>
          <w:rFonts w:hint="eastAsia" w:ascii="宋体" w:hAnsi="宋体" w:cs="宋体"/>
          <w:color w:val="auto"/>
          <w:sz w:val="24"/>
          <w:szCs w:val="24"/>
          <w:highlight w:val="none"/>
          <w:lang w:eastAsia="zh-CN"/>
        </w:rPr>
        <w:t xml:space="preserve">2026年1月7日至2027年3月23日（</w:t>
      </w:r>
      <w:r>
        <w:rPr>
          <w:rFonts w:hint="eastAsia" w:ascii="宋体" w:hAnsi="宋体" w:cs="宋体"/>
          <w:color w:val="auto"/>
          <w:sz w:val="24"/>
          <w:szCs w:val="24"/>
          <w:highlight w:val="none"/>
          <w:lang w:val="en-US" w:eastAsia="zh-CN"/>
        </w:rPr>
        <w:t xml:space="preserve">约14.6个月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2、质量要求：合格</w:t>
      </w:r>
      <w:r>
        <w:rPr>
          <w:rFonts w:hint="eastAsia" w:ascii="宋体" w:hAnsi="宋体" w:cs="宋体"/>
          <w:color w:val="auto"/>
          <w:sz w:val="24"/>
          <w:szCs w:val="24"/>
          <w:highlight w:val="none"/>
          <w:lang w:eastAsia="zh-CN"/>
        </w:rPr>
        <w:t xml:space="preserve">。</w:t>
      </w:r>
      <w:r/>
    </w:p>
    <w:p>
      <w:pPr>
        <w:ind w:firstLine="482"/>
        <w:jc w:val="both"/>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3、考核合格后</w:t>
      </w:r>
      <w:r>
        <w:rPr>
          <w:rFonts w:hint="eastAsia" w:ascii="宋体" w:hAnsi="宋体" w:cs="宋体"/>
          <w:color w:val="auto"/>
          <w:sz w:val="24"/>
          <w:szCs w:val="24"/>
          <w:highlight w:val="none"/>
        </w:rPr>
        <w:t xml:space="preserve">运维费半年一结。若设施运维被政府其他部门接收，</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有权终止被接收部分的运维，终止部分运维费按实际运维时间进行结算。</w:t>
      </w:r>
      <w:r/>
    </w:p>
    <w:p>
      <w:pPr>
        <w:ind w:firstLine="482"/>
        <w:jc w:val="both"/>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八、履约保证金</w:t>
      </w:r>
      <w:r/>
    </w:p>
    <w:p>
      <w:pPr>
        <w:ind w:firstLine="482"/>
        <w:jc w:val="both"/>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成交供应商在收到成交通知书后，根据合同内容规定成交供应商缴纳</w:t>
      </w:r>
      <w:r>
        <w:rPr>
          <w:rFonts w:hint="eastAsia" w:ascii="宋体" w:hAnsi="宋体" w:cs="宋体"/>
          <w:color w:val="auto"/>
          <w:sz w:val="24"/>
          <w:szCs w:val="24"/>
          <w:highlight w:val="none"/>
          <w:lang w:val="en-US" w:eastAsia="zh-CN"/>
        </w:rPr>
        <w:t xml:space="preserve">合同</w:t>
      </w:r>
      <w:r>
        <w:rPr>
          <w:rFonts w:hint="eastAsia" w:ascii="宋体" w:hAnsi="宋体" w:cs="宋体"/>
          <w:color w:val="auto"/>
          <w:sz w:val="24"/>
          <w:szCs w:val="24"/>
          <w:highlight w:val="none"/>
        </w:rPr>
        <w:t xml:space="preserve">价的10%作为履约保证金，履约保证金应当以转账形式提交，逾期视为成交供应商自动放弃成交资格，采购人有权按照相关程序另行确定成交供应商。</w:t>
      </w:r>
      <w:r/>
    </w:p>
    <w:p>
      <w:pPr>
        <w:ind w:firstLine="482"/>
        <w:jc w:val="both"/>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履约保证金的退还：项目验收合格后，成交供应商凭采购人签署的同意退还履约保证金的证明，前往采购人处办理保证金退还手续。履约保证金未如期归还，给供应商造成损失，由采购人承担。采购人拖延退还履约保证金，由采购人按应退履约保证金总价款同期银行贷款利率承担违约责任。</w:t>
      </w:r>
      <w:r/>
    </w:p>
    <w:p>
      <w:pPr>
        <w:ind w:firstLine="482"/>
        <w:jc w:val="both"/>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履约验收合格标准：</w:t>
      </w:r>
      <w:r>
        <w:rPr>
          <w:rFonts w:hint="eastAsia" w:ascii="宋体" w:hAnsi="宋体"/>
          <w:color w:val="auto"/>
          <w:sz w:val="24"/>
          <w:szCs w:val="24"/>
          <w:highlight w:val="none"/>
          <w:lang w:val="en-US" w:eastAsia="zh-CN"/>
        </w:rPr>
        <w:t xml:space="preserve">履约验收参考《江苏省政府采购履约验收管理办法》，验收书参考样本详见“第三章 合同文本”。</w:t>
      </w:r>
      <w:r>
        <w:rPr>
          <w:rFonts w:hint="eastAsia" w:ascii="宋体" w:hAnsi="宋体" w:cs="宋体"/>
          <w:color w:val="auto"/>
          <w:sz w:val="24"/>
          <w:szCs w:val="24"/>
          <w:highlight w:val="none"/>
        </w:rPr>
        <w:t xml:space="preserve">服务考核采用季度考评（日常检查、定期、监督检查）、年终考评考核方式，考核结果分优良、合格、不合格三个档次。季度考评（日常检查、定期、监督检查）、年终考评由采购人组织实施或委托第三方开展。</w:t>
      </w:r>
      <w:r/>
    </w:p>
    <w:p>
      <w:pPr>
        <w:ind w:firstLine="482"/>
        <w:jc w:val="both"/>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考核共分三个档次，其中：合计分＜80，不合格；80≤合计分＜90，合格；合计分≥90，优良。即供应商考核分须达到80分方可视为验收合格。</w:t>
      </w:r>
      <w:r/>
    </w:p>
    <w:p>
      <w:pPr>
        <w:ind w:firstLine="482"/>
        <w:jc w:val="both"/>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具体考核内容及细则详见“第三章 合同文本”。</w:t>
      </w:r>
      <w:bookmarkEnd w:id="187"/>
      <w:r/>
      <w:bookmarkEnd w:id="188"/>
      <w:r/>
      <w:bookmarkEnd w:id="189"/>
      <w:r/>
      <w:r/>
    </w:p>
    <w:p>
      <w:pPr>
        <w:ind w:firstLine="482"/>
        <w:jc w:val="both"/>
        <w:keepLines w:val="0"/>
        <w:keepNext w:val="0"/>
        <w:pageBreakBefore w:val="0"/>
        <w:spacing w:line="360" w:lineRule="auto"/>
        <w:widowControl w:val="off"/>
        <w:rPr>
          <w:rFonts w:hint="eastAsia" w:ascii="宋体" w:hAnsi="宋体" w:cs="宋体"/>
          <w:b w:val="0"/>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九、其他要求</w:t>
      </w:r>
      <w:r/>
    </w:p>
    <w:p>
      <w:pPr>
        <w:ind w:firstLine="482"/>
        <w:jc w:val="both"/>
        <w:keepLines w:val="0"/>
        <w:keepNext w:val="0"/>
        <w:pageBreakBefore w:val="0"/>
        <w:spacing w:line="360" w:lineRule="auto"/>
        <w:widowControl w:val="off"/>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1、投标供应商须能够在20分钟内到达现场（目的地为五接镇人民政府）。</w:t>
      </w:r>
      <w:r/>
    </w:p>
    <w:p>
      <w:pPr>
        <w:ind w:firstLine="482"/>
        <w:jc w:val="both"/>
        <w:keepLines w:val="0"/>
        <w:keepNext w:val="0"/>
        <w:pageBreakBefore w:val="0"/>
        <w:spacing w:line="360" w:lineRule="auto"/>
        <w:widowControl w:val="off"/>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成交</w:t>
      </w:r>
      <w:r>
        <w:rPr>
          <w:rFonts w:hint="eastAsia" w:ascii="宋体" w:hAnsi="宋体" w:cs="宋体"/>
          <w:b w:val="0"/>
          <w:bCs/>
          <w:color w:val="auto"/>
          <w:sz w:val="24"/>
          <w:szCs w:val="24"/>
          <w:highlight w:val="none"/>
          <w:lang w:val="en-US" w:eastAsia="zh-CN"/>
        </w:rPr>
        <w:t xml:space="preserve">供应商提供的运维人员必须是响应文件中所承诺的，杜绝采用分包、转包或挂靠单位人员。采购人发现提供服务的运维人员不能满足项目需求的，有权要求成交供应商按照承诺配备或更换相应资格的运维人员，且未经采购人同意不得随意私自更换运维人员。</w:t>
      </w:r>
      <w:r/>
    </w:p>
    <w:p>
      <w:pPr>
        <w:ind w:firstLine="482"/>
        <w:jc w:val="both"/>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val="0"/>
          <w:bCs/>
          <w:color w:val="auto"/>
          <w:sz w:val="24"/>
          <w:szCs w:val="24"/>
          <w:highlight w:val="none"/>
          <w:lang w:val="en-US" w:eastAsia="zh-CN"/>
        </w:rPr>
        <w:t xml:space="preserve">3、</w:t>
      </w:r>
      <w:r>
        <w:rPr>
          <w:rFonts w:hint="eastAsia" w:ascii="宋体" w:hAnsi="宋体" w:cs="宋体"/>
          <w:color w:val="auto"/>
          <w:sz w:val="24"/>
          <w:szCs w:val="24"/>
          <w:highlight w:val="none"/>
        </w:rPr>
        <w:t xml:space="preserve">采购人不统一组织现场踏勘，请</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供应商务必自行认真踏勘现场条件并综合考虑到报价中，一旦中标不得对现场条件提出额外要求。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必须承诺采购文件中提出的全部要求，如果其中某些条款不响应时，必须在</w:t>
      </w:r>
      <w:r>
        <w:rPr>
          <w:rFonts w:hint="eastAsia" w:ascii="宋体" w:hAnsi="宋体" w:cs="宋体"/>
          <w:color w:val="auto"/>
          <w:sz w:val="24"/>
          <w:szCs w:val="24"/>
          <w:highlight w:val="none"/>
          <w:lang w:val="en-US" w:eastAsia="zh-CN"/>
        </w:rPr>
        <w:t xml:space="preserve">响应文件</w:t>
      </w:r>
      <w:r>
        <w:rPr>
          <w:rFonts w:hint="eastAsia" w:ascii="宋体" w:hAnsi="宋体" w:cs="宋体"/>
          <w:color w:val="auto"/>
          <w:sz w:val="24"/>
          <w:szCs w:val="24"/>
          <w:highlight w:val="none"/>
        </w:rPr>
        <w:t xml:space="preserve">中逐条列出。</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应对项目的全部内容进行报价，只投其中部分内容者，其响应文件将被拒绝。</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成交后提供的服务、货物均为按国家规格条例的合格正规服务、货物，符合规范要求。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应对运维人员做好安全技术培训，履行安全职责，如果运维人员在履行工作职责期间（包括上下班途中）发生自身的人身伤害、伤亡以及事故等，均由供应商负责处理并承担经济和道义上得责任，采购人不承担任何责任。</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与所派遣的运维人员发生纠纷，均由</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供应商负责调解与处理，采购人不承担责任。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供应商派出的维修服务人员必须严格遵守操作规程，注意安全，在维保作业期间发生的人身伤害事故由</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供应商负全责。</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、因</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供应商工作人员工作失误（技能欠缺、维修迟缓或误操作等）对采购人造成经济损失，由</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供应商承担全部经济损失。</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供应商必须依法为本项目所有维保作业人员缴纳工伤险和商业险，每季度将缴纳工伤险和商业险凭证盖章后送采购人备案。</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lang w:eastAsia="zh-CN"/>
        </w:rPr>
        <w:t xml:space="preserve">成交</w:t>
      </w:r>
      <w:r>
        <w:rPr>
          <w:rFonts w:hint="eastAsia" w:ascii="宋体" w:hAnsi="宋体" w:cs="宋体"/>
          <w:b/>
          <w:bCs/>
          <w:color w:val="auto"/>
          <w:sz w:val="24"/>
          <w:szCs w:val="24"/>
          <w:highlight w:val="none"/>
        </w:rPr>
        <w:t xml:space="preserve">供应商为采购人提供的更换部件必须为与原有部件同品牌、型号的原装正品部件，</w:t>
      </w:r>
      <w:r>
        <w:rPr>
          <w:rFonts w:hint="eastAsia" w:ascii="宋体" w:hAnsi="宋体" w:cs="宋体"/>
          <w:b/>
          <w:bCs/>
          <w:color w:val="auto"/>
          <w:sz w:val="24"/>
          <w:szCs w:val="24"/>
          <w:highlight w:val="none"/>
          <w:lang w:val="en-US" w:eastAsia="zh-CN"/>
        </w:rPr>
        <w:t xml:space="preserve">目前镇上设施的品牌为中鹿</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如有特殊情况，</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供应商需与采购人协商同意后更换与原部件应用功能与技术指标相近的部件</w:t>
      </w:r>
      <w:r>
        <w:rPr>
          <w:rFonts w:hint="eastAsia" w:ascii="宋体" w:hAnsi="宋体" w:cs="宋体"/>
          <w:color w:val="auto"/>
          <w:sz w:val="24"/>
          <w:szCs w:val="24"/>
          <w:highlight w:val="none"/>
          <w:lang w:val="en-US" w:eastAsia="zh-CN"/>
        </w:rPr>
        <w:t xml:space="preserve">并确保设备正常运行</w:t>
      </w:r>
      <w:r>
        <w:rPr>
          <w:rFonts w:hint="eastAsia" w:ascii="宋体" w:hAnsi="宋体" w:cs="宋体"/>
          <w:color w:val="auto"/>
          <w:sz w:val="24"/>
          <w:szCs w:val="24"/>
          <w:highlight w:val="none"/>
        </w:rPr>
        <w:t xml:space="preserve">。</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能响应、协作完成采购人提出的其他要求。</w:t>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rPr>
          <w:rFonts w:hint="eastAsia" w:ascii="黑体" w:hAnsi="Times New Roman" w:eastAsia="黑体"/>
          <w:bCs/>
          <w:color w:val="auto"/>
          <w:sz w:val="44"/>
          <w:szCs w:val="28"/>
          <w:highlight w:val="none"/>
        </w:rPr>
      </w:pPr>
      <w:r/>
      <w:bookmarkStart w:id="190" w:name="_Toc120614281"/>
      <w:r>
        <w:rPr>
          <w:rFonts w:hint="eastAsia" w:ascii="黑体" w:hAnsi="Times New Roman" w:eastAsia="黑体"/>
          <w:bCs/>
          <w:color w:val="auto"/>
          <w:sz w:val="44"/>
          <w:szCs w:val="28"/>
          <w:highlight w:val="none"/>
        </w:rPr>
        <w:br w:type="page" w:clear="all"/>
      </w:r>
      <w:r/>
    </w:p>
    <w:p>
      <w:pPr>
        <w:jc w:val="center"/>
        <w:keepNext/>
        <w:spacing w:line="360" w:lineRule="auto"/>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第五章  </w:t>
      </w:r>
      <w:r>
        <w:rPr>
          <w:rFonts w:hint="eastAsia" w:ascii="黑体" w:hAnsi="Times New Roman" w:eastAsia="黑体"/>
          <w:b/>
          <w:bCs/>
          <w:color w:val="auto"/>
          <w:sz w:val="44"/>
          <w:szCs w:val="28"/>
          <w:highlight w:val="none"/>
        </w:rPr>
        <w:t xml:space="preserve">评审方法与评审标准</w:t>
      </w:r>
      <w:r/>
    </w:p>
    <w:p>
      <w:pPr>
        <w:ind w:left="0" w:right="0" w:firstLine="482"/>
        <w:jc w:val="both"/>
        <w:keepLines w:val="0"/>
        <w:keepNext w:val="0"/>
        <w:pageBreakBefore w:val="0"/>
        <w:spacing w:line="360" w:lineRule="auto"/>
        <w:widowControl w:val="off"/>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一、采购人组织磋商活动</w:t>
      </w:r>
      <w:r/>
    </w:p>
    <w:p>
      <w:pPr>
        <w:ind w:left="0" w:right="0" w:firstLine="482"/>
        <w:jc w:val="both"/>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b/>
          <w:color w:val="auto"/>
          <w:sz w:val="24"/>
          <w:szCs w:val="24"/>
          <w:highlight w:val="none"/>
          <w:lang w:val="zh-CN"/>
        </w:rPr>
        <w:t xml:space="preserve">1、成立竞争性磋商小组。</w:t>
      </w:r>
      <w:r>
        <w:rPr>
          <w:rFonts w:ascii="宋体" w:hAnsi="宋体" w:cs="宋体"/>
          <w:color w:val="auto"/>
          <w:sz w:val="24"/>
          <w:szCs w:val="24"/>
          <w:highlight w:val="none"/>
          <w:lang w:val="zh-CN"/>
        </w:rPr>
        <w:t xml:space="preserve">竞争性磋商小组由采购人代表和评审专家共</w:t>
      </w:r>
      <w:r>
        <w:rPr>
          <w:rFonts w:ascii="宋体" w:hAnsi="宋体" w:cs="宋体"/>
          <w:color w:val="auto"/>
          <w:sz w:val="24"/>
          <w:szCs w:val="24"/>
          <w:highlight w:val="none"/>
        </w:rPr>
        <w:t xml:space="preserve">3</w:t>
      </w:r>
      <w:r>
        <w:rPr>
          <w:rFonts w:ascii="宋体" w:hAnsi="宋体" w:cs="宋体"/>
          <w:color w:val="auto"/>
          <w:sz w:val="24"/>
          <w:szCs w:val="24"/>
          <w:highlight w:val="none"/>
          <w:lang w:val="zh-CN"/>
        </w:rPr>
        <w:t xml:space="preserve">人组成，其中评审专家人数不得少于竞争性磋商小组成员总数的2/3。</w:t>
      </w:r>
      <w:r/>
    </w:p>
    <w:p>
      <w:pPr>
        <w:ind w:left="0" w:right="0" w:firstLine="480"/>
        <w:jc w:val="both"/>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采用竞争性磋商的政府采购项目，评审专家应当从政府采购评审专家库内相关专业的专家名单中随机抽取。技术复杂、专业性强的竞争性磋商采购项目，通过随机方式难以确定合适的评审专家的，经主管预算单位同意，可以自行选定评审专家。技术复杂、专业性强的竞争性磋商采购项目，评审专家中应当包含1名法律专家。</w:t>
      </w:r>
      <w:r/>
    </w:p>
    <w:p>
      <w:pPr>
        <w:ind w:left="0" w:right="0" w:firstLine="482"/>
        <w:jc w:val="both"/>
        <w:keepLines w:val="0"/>
        <w:keepNext w:val="0"/>
        <w:pageBreakBefore w:val="0"/>
        <w:spacing w:line="360" w:lineRule="auto"/>
        <w:widowControl w:val="off"/>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2、竞争性磋商小组的职责：</w:t>
      </w:r>
      <w:r/>
    </w:p>
    <w:p>
      <w:pPr>
        <w:ind w:left="0" w:right="0" w:firstLine="480"/>
        <w:jc w:val="both"/>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评审专家应当遵守评审工作纪律，不得泄露评审情况和评审中获悉的商业秘密。</w:t>
      </w:r>
      <w:r/>
    </w:p>
    <w:p>
      <w:pPr>
        <w:ind w:left="0" w:right="0" w:firstLine="480"/>
        <w:jc w:val="both"/>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磋商小组在评审过程中发现供应商有行贿、提供虚假材料或者串通等违法行为的，应当及时向财政部门报告。</w:t>
      </w:r>
      <w:r/>
    </w:p>
    <w:p>
      <w:pPr>
        <w:ind w:left="0" w:right="0" w:firstLine="480"/>
        <w:jc w:val="both"/>
        <w:keepLines w:val="0"/>
        <w:keepNext w:val="0"/>
        <w:pageBreakBefore w:val="0"/>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lang w:val="zh-CN"/>
        </w:rPr>
        <w:t xml:space="preserve">评审专家在评审过程中受到非法干涉的，应当及时向财政、监察等部门举报。</w:t>
      </w:r>
      <w:r/>
    </w:p>
    <w:p>
      <w:pPr>
        <w:ind w:left="0" w:right="0" w:firstLine="480"/>
        <w:jc w:val="both"/>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both"/>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磋商文件内容违反国家有关强制性规定的，磋商小组应当停止评审并向采购人或者采购代理机构说明情况。</w:t>
      </w:r>
      <w:r/>
    </w:p>
    <w:p>
      <w:pPr>
        <w:ind w:left="0" w:right="0" w:firstLine="482"/>
        <w:jc w:val="both"/>
        <w:keepLines w:val="0"/>
        <w:keepNext w:val="0"/>
        <w:pageBreakBefore w:val="0"/>
        <w:spacing w:line="360" w:lineRule="auto"/>
        <w:widowControl w:val="off"/>
        <w:rPr>
          <w:rFonts w:ascii="宋体" w:hAnsi="宋体" w:cs="宋体"/>
          <w:b/>
          <w:color w:val="auto"/>
          <w:sz w:val="24"/>
          <w:szCs w:val="24"/>
          <w:highlight w:val="none"/>
          <w:lang w:val="zh-CN"/>
        </w:rPr>
      </w:pPr>
      <w:r>
        <w:rPr>
          <w:rFonts w:ascii="宋体" w:hAnsi="宋体" w:cs="宋体"/>
          <w:b/>
          <w:color w:val="auto"/>
          <w:sz w:val="24"/>
          <w:szCs w:val="24"/>
          <w:highlight w:val="none"/>
          <w:lang w:val="zh-CN"/>
        </w:rPr>
        <w:t xml:space="preserve">3、竞争性磋商小组成员的义务：</w:t>
      </w:r>
      <w:r/>
    </w:p>
    <w:p>
      <w:pPr>
        <w:ind w:left="0" w:right="0" w:firstLine="480"/>
        <w:jc w:val="both"/>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遵纪守法，客观、公正、廉洁地履行职责；根据采购文件的规定独立进行评审，对个人的评审意见承担法律责任；参与评审报告的起草；配合采购人、采购人答复供应商提出的质疑；配合财政部门的投诉处理和监督检查工作。</w:t>
      </w:r>
      <w:r/>
    </w:p>
    <w:p>
      <w:pPr>
        <w:ind w:left="0" w:right="0" w:firstLine="482"/>
        <w:jc w:val="both"/>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二、评审程序、内容</w:t>
      </w:r>
      <w:r/>
    </w:p>
    <w:p>
      <w:pPr>
        <w:ind w:left="0" w:right="0" w:firstLine="480"/>
        <w:jc w:val="both"/>
        <w:keepLines w:val="0"/>
        <w:keepNext w:val="0"/>
        <w:pageBreakBefore w:val="0"/>
        <w:spacing w:line="360" w:lineRule="auto"/>
        <w:widowControl w:val="off"/>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详见第二章《供应商须知》第27条。</w:t>
      </w:r>
      <w:r/>
    </w:p>
    <w:p>
      <w:pPr>
        <w:ind w:left="0" w:right="0" w:firstLine="480"/>
        <w:jc w:val="both"/>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磋商时间由磋商小组掌握。</w:t>
      </w:r>
      <w:r/>
    </w:p>
    <w:p>
      <w:pPr>
        <w:ind w:left="0" w:right="0" w:firstLine="482"/>
        <w:jc w:val="both"/>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t xml:space="preserve">三、评审方法-综合评分法</w:t>
      </w:r>
      <w:r/>
    </w:p>
    <w:p>
      <w:pPr>
        <w:ind w:left="0" w:right="0" w:firstLine="480"/>
        <w:jc w:val="both"/>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经磋商确定最终采购需求和提交报价的供应商后，由磋商小组采用综合评分法对提交报价的供应商的响应文件和报价进行综合评分。</w:t>
      </w:r>
      <w:r/>
    </w:p>
    <w:p>
      <w:pPr>
        <w:ind w:left="0" w:right="0" w:firstLine="480"/>
        <w:jc w:val="both"/>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综合评分法，是指响应文件满足磋商文件全部实质性要求且按评审因素的量化指标评审得分最高的供应商为成交候选供应商的评审方法。</w:t>
      </w:r>
      <w:r/>
    </w:p>
    <w:p>
      <w:pPr>
        <w:ind w:left="0" w:right="0" w:firstLine="480"/>
        <w:jc w:val="both"/>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评审时，磋商小组各成员应当独立对每个有效响应的文件进行评价、打分，然后汇总每个供应商每项评分因素的得分。</w:t>
      </w:r>
      <w:r/>
    </w:p>
    <w:p>
      <w:pPr>
        <w:ind w:left="0" w:right="0" w:firstLine="482"/>
        <w:jc w:val="both"/>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（一）审查响应文件的有效性、完整性、响应程度</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1、要求的保证金是否已提供；</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2、网上是否上传响应文件;</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3、供应商资格是否符合;</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4、响应文件是否完整；</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5、响应文件是否恰当地签署；</w:t>
      </w:r>
      <w:r/>
    </w:p>
    <w:p>
      <w:pPr>
        <w:ind w:left="0" w:right="0" w:firstLine="480"/>
        <w:jc w:val="both"/>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color w:val="auto"/>
          <w:sz w:val="24"/>
          <w:szCs w:val="24"/>
          <w:highlight w:val="none"/>
        </w:rPr>
        <w:t xml:space="preserve">6、是否作出实质性响应（</w:t>
      </w:r>
      <w:r>
        <w:rPr>
          <w:rFonts w:hint="eastAsia" w:ascii="宋体" w:hAnsi="宋体"/>
          <w:b/>
          <w:color w:val="auto"/>
          <w:sz w:val="24"/>
          <w:szCs w:val="24"/>
          <w:highlight w:val="none"/>
        </w:rPr>
        <w:t xml:space="preserve">是否有实质性响应，只根据响应文件本身，而不寻求外部证据）；</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7、是否有计算错误。</w:t>
      </w:r>
      <w:r/>
    </w:p>
    <w:p>
      <w:pPr>
        <w:ind w:left="0" w:right="0" w:firstLine="482"/>
        <w:jc w:val="both"/>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（二）误差纠正</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1、如果单价汇总金额与总价金额有出入，以单价金额计算结果为准；</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2、单价金额小数点有明显错位的，应以总价为准；</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3、若文件大写表示的数据与数字表示的有差别，以大写表示的数据为准。</w:t>
      </w:r>
      <w:r/>
    </w:p>
    <w:p>
      <w:pPr>
        <w:ind w:left="0" w:right="0" w:firstLine="482"/>
        <w:jc w:val="both"/>
        <w:keepLines w:val="0"/>
        <w:keepNext w:val="0"/>
        <w:pageBreakBefore w:val="0"/>
        <w:spacing w:line="360" w:lineRule="auto"/>
        <w:widowControl w:val="off"/>
        <w:tabs>
          <w:tab w:val="left" w:pos="6555" w:leader="none"/>
          <w:tab w:val="right" w:pos="8306"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（三）出现下列情形之一的，作无效响应处理</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1、未按照磋商文件规定要求签署、盖章的；</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2、未完整上传响应文件电子文档的,或上传的文件打不开的；</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3、不具备磋商文件中规定的资格要求的；</w:t>
      </w:r>
      <w:r/>
    </w:p>
    <w:p>
      <w:pPr>
        <w:ind w:left="0" w:right="0" w:firstLine="480"/>
        <w:jc w:val="both"/>
        <w:keepLines w:val="0"/>
        <w:keepNext w:val="0"/>
        <w:pageBreakBefore w:val="0"/>
        <w:spacing w:line="360" w:lineRule="auto"/>
        <w:widowControl w:val="off"/>
        <w:tabs>
          <w:tab w:val="left" w:pos="654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4、响应报价超出预算的；</w:t>
      </w:r>
      <w:r>
        <w:rPr>
          <w:rFonts w:hint="eastAsia" w:ascii="宋体" w:hAnsi="宋体"/>
          <w:color w:val="auto"/>
          <w:sz w:val="24"/>
          <w:szCs w:val="24"/>
          <w:highlight w:val="none"/>
        </w:rPr>
        <w:tab/>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5、不符合法律、法规和磋商文件中规定的其他实质性要求的。</w:t>
      </w:r>
      <w:r/>
    </w:p>
    <w:p>
      <w:pPr>
        <w:ind w:left="0" w:right="0" w:firstLine="482"/>
        <w:jc w:val="both"/>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（四）出现下列情形之一的，磋商失败</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1、符合条件的供应商或者对磋商文件作实质响应的供应商不足3家的（市场竞争不充分的科研项目，以及需要扶持的科技成果转化项目可以是2家）；</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2、出现影响采购公正的违法违规行为的；</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3、供应商的报价均超过了采购预算，采购人不能支付的；</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4、因重大变故，采购任务取消的。</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本级财政部门。</w:t>
      </w:r>
      <w:r/>
    </w:p>
    <w:p>
      <w:pPr>
        <w:ind w:left="0" w:right="0" w:firstLine="482"/>
        <w:jc w:val="both"/>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四、政府采购政策功能落实</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1、小微型企业价格扣除</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（1）本项目对小型和微型企业产品给予</w:t>
      </w:r>
      <w:r>
        <w:rPr>
          <w:rFonts w:hint="eastAsia" w:ascii="宋体" w:hAnsi="宋体"/>
          <w:color w:val="auto"/>
          <w:sz w:val="24"/>
          <w:szCs w:val="24"/>
          <w:highlight w:val="none"/>
          <w:u w:val="single"/>
          <w:lang w:val="en-US" w:eastAsia="zh-CN"/>
        </w:rPr>
        <w:t xml:space="preserve">10</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的扣除价格，用扣除后的价格参与评审。</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（2）供应商需按照采购文件的要求提供相应的《小微企业声明函》。</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2、残疾人福利单位价格扣除</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（1）本项目对残疾人福利性单位视同小型、微型企业，给予</w:t>
      </w:r>
      <w:r>
        <w:rPr>
          <w:rFonts w:hint="eastAsia" w:ascii="宋体" w:hAnsi="宋体"/>
          <w:color w:val="auto"/>
          <w:sz w:val="24"/>
          <w:szCs w:val="24"/>
          <w:highlight w:val="none"/>
          <w:u w:val="single"/>
          <w:lang w:val="en-US" w:eastAsia="zh-CN"/>
        </w:rPr>
        <w:t xml:space="preserve">10</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w:t>
      </w:r>
      <w:r>
        <w:rPr>
          <w:rFonts w:hint="eastAsia" w:ascii="宋体" w:hAnsi="宋体"/>
          <w:color w:val="auto"/>
          <w:sz w:val="24"/>
          <w:szCs w:val="24"/>
          <w:highlight w:val="none"/>
          <w:u w:val="single"/>
          <w:lang w:val="en-US" w:eastAsia="zh-CN"/>
        </w:rPr>
        <w:t xml:space="preserve">10</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w:t>
      </w:r>
      <w:r>
        <w:rPr>
          <w:rFonts w:ascii="宋体" w:hAnsi="宋体"/>
          <w:color w:val="auto"/>
          <w:sz w:val="24"/>
          <w:szCs w:val="24"/>
          <w:highlight w:val="none"/>
        </w:rPr>
        <w:t xml:space="preserve">财库[2014]68号</w:t>
      </w:r>
      <w:r>
        <w:rPr>
          <w:rFonts w:hint="eastAsia" w:ascii="宋体" w:hAnsi="宋体"/>
          <w:color w:val="auto"/>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szCs w:val="24"/>
          <w:highlight w:val="none"/>
          <w:u w:val="single"/>
          <w:lang w:val="en-US" w:eastAsia="zh-CN"/>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left="0"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w:t>
      </w:r>
      <w:r>
        <w:rPr>
          <w:rFonts w:hint="eastAsia" w:ascii="宋体" w:hAnsi="宋体"/>
          <w:color w:val="auto"/>
          <w:sz w:val="24"/>
          <w:szCs w:val="24"/>
          <w:highlight w:val="none"/>
          <w:u w:val="single"/>
          <w:lang w:val="en-US" w:eastAsia="zh-CN"/>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价格扣除，用扣除后的价格参与评审。</w:t>
      </w:r>
      <w:r/>
    </w:p>
    <w:p>
      <w:pPr>
        <w:ind w:left="0"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s="宋体"/>
          <w:color w:val="auto"/>
          <w:sz w:val="24"/>
          <w:highlight w:val="none"/>
          <w:lang w:bidi="ar"/>
        </w:rPr>
        <w:t xml:space="preserve">7、专门面向中小企业采购的项目或者采购包，不再执行价格评审优惠的扶持政策。</w:t>
      </w:r>
      <w:r/>
    </w:p>
    <w:p>
      <w:pPr>
        <w:ind w:left="0" w:right="0" w:firstLine="482"/>
        <w:jc w:val="both"/>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b/>
          <w:color w:val="auto"/>
          <w:sz w:val="24"/>
          <w:szCs w:val="24"/>
          <w:highlight w:val="none"/>
        </w:rPr>
        <w:t xml:space="preserve">五、评审方法与评审标准</w:t>
      </w:r>
      <w:r/>
    </w:p>
    <w:p>
      <w:pPr>
        <w:ind w:left="0" w:right="0" w:firstLine="480"/>
        <w:jc w:val="both"/>
        <w:keepLines w:val="0"/>
        <w:keepNext w:val="0"/>
        <w:pageBreakBefore w:val="0"/>
        <w:spacing w:line="360" w:lineRule="auto"/>
        <w:widowControl w:val="off"/>
        <w:rPr>
          <w:rFonts w:hint="eastAsia" w:ascii="Times New Roman" w:hAnsi="Times New Roman" w:cs="宋体"/>
          <w:color w:val="auto"/>
          <w:sz w:val="24"/>
          <w:szCs w:val="24"/>
          <w:highlight w:val="none"/>
        </w:rPr>
      </w:pPr>
      <w:r/>
      <w:bookmarkStart w:id="191" w:name="_Toc479962294"/>
      <w:r>
        <w:rPr>
          <w:rFonts w:hint="eastAsia" w:ascii="Times New Roman" w:hAnsi="Times New Roman" w:cs="宋体"/>
          <w:color w:val="auto"/>
          <w:sz w:val="24"/>
          <w:szCs w:val="24"/>
          <w:highlight w:val="none"/>
        </w:rPr>
        <w:t xml:space="preserve">本项目总分值为100分，其中商务技术部分</w:t>
      </w:r>
      <w:r>
        <w:rPr>
          <w:rFonts w:hint="eastAsia" w:ascii="Times New Roman" w:hAnsi="Times New Roman" w:cs="宋体"/>
          <w:color w:val="auto"/>
          <w:sz w:val="24"/>
          <w:szCs w:val="24"/>
          <w:highlight w:val="none"/>
          <w:lang w:val="en-US" w:eastAsia="zh-CN"/>
        </w:rPr>
        <w:t xml:space="preserve">7</w:t>
      </w:r>
      <w:r>
        <w:rPr>
          <w:rFonts w:hint="eastAsia" w:ascii="Times New Roman" w:hAnsi="Times New Roman" w:cs="宋体"/>
          <w:color w:val="auto"/>
          <w:sz w:val="24"/>
          <w:szCs w:val="24"/>
          <w:highlight w:val="none"/>
        </w:rPr>
        <w:t xml:space="preserve">0分，价格部分</w:t>
      </w:r>
      <w:r>
        <w:rPr>
          <w:rFonts w:hint="eastAsia" w:ascii="Times New Roman" w:hAnsi="Times New Roman" w:cs="宋体"/>
          <w:color w:val="auto"/>
          <w:sz w:val="24"/>
          <w:szCs w:val="24"/>
          <w:highlight w:val="none"/>
          <w:lang w:val="en-US" w:eastAsia="zh-CN"/>
        </w:rPr>
        <w:t xml:space="preserve">3</w:t>
      </w:r>
      <w:r>
        <w:rPr>
          <w:rFonts w:hint="eastAsia" w:ascii="Times New Roman" w:hAnsi="Times New Roman" w:cs="宋体"/>
          <w:color w:val="auto"/>
          <w:sz w:val="24"/>
          <w:szCs w:val="24"/>
          <w:highlight w:val="none"/>
        </w:rPr>
        <w:t xml:space="preserve">0分；投标得分=技术部分得分+价格部分得分。</w:t>
      </w:r>
      <w:bookmarkStart w:id="192" w:name="_Toc474229428"/>
      <w:r/>
      <w:bookmarkEnd w:id="192"/>
      <w:r/>
      <w:bookmarkStart w:id="193" w:name="_Toc184635088"/>
      <w:r/>
      <w:bookmarkEnd w:id="193"/>
      <w:r/>
      <w:bookmarkStart w:id="194" w:name="_Toc12009"/>
      <w:r/>
      <w:bookmarkEnd w:id="194"/>
      <w:r/>
      <w:r/>
    </w:p>
    <w:p>
      <w:pPr>
        <w:numPr>
          <w:ilvl w:val="0"/>
          <w:numId w:val="5"/>
        </w:numPr>
        <w:ind w:left="0" w:right="0" w:firstLine="480"/>
        <w:jc w:val="both"/>
        <w:keepLines w:val="0"/>
        <w:keepNext w:val="0"/>
        <w:pageBreakBefore w:val="0"/>
        <w:spacing w:line="360" w:lineRule="auto"/>
        <w:widowControl w:val="off"/>
        <w:tabs>
          <w:tab w:val="left" w:pos="375" w:leader="none"/>
        </w:tabs>
        <w:rPr>
          <w:rFonts w:ascii="宋体" w:hAnsi="宋体"/>
          <w:color w:val="auto"/>
          <w:sz w:val="24"/>
          <w:szCs w:val="24"/>
          <w:highlight w:val="none"/>
        </w:rPr>
      </w:pPr>
      <w:r>
        <w:rPr>
          <w:rFonts w:hint="eastAsia" w:ascii="宋体" w:hAnsi="宋体"/>
          <w:color w:val="auto"/>
          <w:sz w:val="24"/>
          <w:szCs w:val="24"/>
          <w:highlight w:val="none"/>
        </w:rPr>
        <w:t xml:space="preserve">商务技术标部分（</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0分）</w:t>
      </w:r>
      <w:r/>
    </w:p>
    <w:tbl>
      <w:tblPr>
        <w:tblStyle w:val="675"/>
        <w:tblpPr w:horzAnchor="page" w:tblpXSpec="center" w:vertAnchor="text" w:tblpY="441" w:leftFromText="180" w:topFromText="0" w:rightFromText="180" w:bottomFromText="0"/>
        <w:tblW w:w="97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1"/>
        <w:gridCol w:w="1110"/>
        <w:gridCol w:w="7572"/>
      </w:tblGrid>
      <w:tr>
        <w:trPr>
          <w:jc w:val="center"/>
          <w:trHeight w:val="414"/>
        </w:trPr>
        <w:tc>
          <w:tcPr>
            <w:tcW w:w="11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评审项</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分值</w:t>
            </w:r>
            <w:r/>
          </w:p>
        </w:tc>
        <w:tc>
          <w:tcPr>
            <w:tcW w:w="75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评分标准</w:t>
            </w:r>
            <w:r/>
          </w:p>
        </w:tc>
      </w:tr>
      <w:tr>
        <w:trPr>
          <w:jc w:val="center"/>
          <w:trHeight w:val="2232"/>
        </w:trPr>
        <w:tc>
          <w:tcPr>
            <w:tcW w:w="111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运维方案</w:t>
            </w:r>
            <w:r/>
          </w:p>
        </w:tc>
        <w:tc>
          <w:tcPr>
            <w:tcW w:w="111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24分</w:t>
            </w:r>
            <w:r/>
          </w:p>
        </w:tc>
        <w:tc>
          <w:tcPr>
            <w:tcW w:w="757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1、制定操作规程（包含但不限于管理制度、岗位操作规程及泵站、设备维护手册、不同种类设备运维周期等），根据规范性、合理性进行综合打分：</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①管理制度合理、操作规范、维护手册齐全，符合本项目需求实际情况的得</w:t>
            </w:r>
            <w:r>
              <w:rPr>
                <w:rFonts w:hint="eastAsia" w:ascii="Times New Roman" w:hAnsi="Times New Roman"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lang w:val="en-US" w:eastAsia="zh-CN"/>
              </w:rPr>
              <w:t xml:space="preserve">分；</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②管理制度较合理、操作较规范、维护手册较齐全，比较符合本项目需求实际情况的得2分；</w:t>
            </w:r>
            <w:r/>
          </w:p>
          <w:p>
            <w:pPr>
              <w:numPr>
                <w:ilvl w:val="0"/>
                <w:numId w:val="0"/>
              </w:numPr>
              <w:ind w:left="0" w:right="0"/>
              <w:jc w:val="left"/>
              <w:keepLines w:val="0"/>
              <w:keepNext w:val="0"/>
              <w:pageBreakBefore w:val="0"/>
              <w:spacing w:before="0" w:beforeAutospacing="0" w:after="0" w:afterAutospacing="0" w:line="240" w:lineRule="auto"/>
              <w:widowControl w:val="off"/>
              <w:rPr>
                <w:rFonts w:hint="default"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③管理制度合理性欠缺、操作不够规范、维护手册不够齐全的得1分；</w:t>
            </w:r>
            <w:r/>
          </w:p>
          <w:p>
            <w:pPr>
              <w:numPr>
                <w:ilvl w:val="0"/>
                <w:numId w:val="0"/>
              </w:numPr>
              <w:ind w:left="0" w:right="0"/>
              <w:jc w:val="left"/>
              <w:keepLines w:val="0"/>
              <w:keepNext w:val="0"/>
              <w:pageBreakBefore w:val="0"/>
              <w:spacing w:before="0" w:beforeAutospacing="0" w:after="0" w:afterAutospacing="0" w:line="240" w:lineRule="auto"/>
              <w:widowControl w:val="off"/>
              <w:rPr>
                <w:rFonts w:hint="default"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④未提供不予得分。</w:t>
            </w:r>
            <w:r/>
          </w:p>
        </w:tc>
      </w:tr>
      <w:tr>
        <w:trPr>
          <w:jc w:val="center"/>
          <w:trHeight w:val="90"/>
        </w:trPr>
        <w:tc>
          <w:tcPr>
            <w:tcW w:w="111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r>
            <w:r/>
          </w:p>
        </w:tc>
        <w:tc>
          <w:tcPr>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r>
            <w:r/>
          </w:p>
        </w:tc>
        <w:tc>
          <w:tcPr>
            <w:tcW w:w="757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2、制定档案管理方案（包含但不限于台账管理制度、设备维护记录模板、巡检记录模板、维修记录模板、设备运行记录模板等），根据具体性、可行性进行综合打分：</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①维护、维修记录内容齐全、描述细致、台账管理可实施性强的得</w:t>
            </w:r>
            <w:r>
              <w:rPr>
                <w:rFonts w:hint="eastAsia" w:ascii="Times New Roman" w:hAnsi="Times New Roman"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lang w:val="en-US" w:eastAsia="zh-CN"/>
              </w:rPr>
              <w:t xml:space="preserve">分；</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②维护、维修记录内容较齐全、描述较细致、台账管理可实施性不强的得2分；</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③维护、维修记录内容有缺漏项，台账管理缺乏可行性得1分；</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④未提供不予得分。</w:t>
            </w:r>
            <w:r/>
          </w:p>
        </w:tc>
      </w:tr>
      <w:tr>
        <w:trPr>
          <w:jc w:val="center"/>
          <w:trHeight w:val="1942"/>
        </w:trPr>
        <w:tc>
          <w:tcPr>
            <w:tcW w:w="111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r>
            <w:r/>
          </w:p>
        </w:tc>
        <w:tc>
          <w:tcPr>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r>
            <w:r/>
          </w:p>
        </w:tc>
        <w:tc>
          <w:tcPr>
            <w:tcW w:w="757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3、制定设备维修方案（含备品备件保障、故障响应时间、故障维修时间等），根据合理性、可行性进行综合打分：</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①内容合理、可实施性强的得</w:t>
            </w:r>
            <w:r>
              <w:rPr>
                <w:rFonts w:hint="eastAsia" w:ascii="Times New Roman" w:hAnsi="Times New Roman"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lang w:val="en-US" w:eastAsia="zh-CN"/>
              </w:rPr>
              <w:t xml:space="preserve">分；</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②内容较合理、可实施性不强的得2分；</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③内容不够合理，缺乏可行性得1分；</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④未提供不予得分</w:t>
            </w:r>
            <w:r>
              <w:rPr>
                <w:rFonts w:hint="eastAsia" w:ascii="Times New Roman" w:hAnsi="Times New Roman" w:cs="Times New Roman"/>
                <w:color w:val="auto"/>
                <w:sz w:val="24"/>
                <w:szCs w:val="24"/>
                <w:highlight w:val="none"/>
                <w:lang w:val="en-US" w:eastAsia="zh-CN"/>
              </w:rPr>
              <w:t xml:space="preserve">。</w:t>
            </w:r>
            <w:r/>
          </w:p>
        </w:tc>
      </w:tr>
      <w:tr>
        <w:trPr>
          <w:jc w:val="center"/>
          <w:trHeight w:val="2022"/>
        </w:trPr>
        <w:tc>
          <w:tcPr>
            <w:tcW w:w="111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r>
            <w:r/>
          </w:p>
        </w:tc>
        <w:tc>
          <w:tcPr>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r>
            <w:r/>
          </w:p>
        </w:tc>
        <w:tc>
          <w:tcPr>
            <w:tcW w:w="757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val="off"/>
              <w:rPr>
                <w:rFonts w:hint="default"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4、制定质量服务方案，根据服务的周到程度、内容的详细程度及切实可行性等（包含但不限于20分钟到达五接政府的证明材料、设立运维办事处、</w:t>
            </w:r>
            <w:r>
              <w:rPr>
                <w:rFonts w:hint="eastAsia" w:ascii="Times New Roman" w:hAnsi="Times New Roman" w:cs="Times New Roman"/>
                <w:color w:val="auto"/>
                <w:sz w:val="24"/>
                <w:szCs w:val="24"/>
                <w:highlight w:val="none"/>
                <w:lang w:val="en-US" w:eastAsia="zh-CN"/>
              </w:rPr>
              <w:t xml:space="preserve">符合磋商文件要求的运维人员投入</w:t>
            </w:r>
            <w:r>
              <w:rPr>
                <w:rFonts w:hint="eastAsia" w:ascii="Times New Roman" w:hAnsi="Times New Roman" w:eastAsia="宋体" w:cs="Times New Roman"/>
                <w:color w:val="auto"/>
                <w:sz w:val="24"/>
                <w:szCs w:val="24"/>
                <w:highlight w:val="none"/>
                <w:lang w:val="en-US" w:eastAsia="zh-CN"/>
              </w:rPr>
              <w:t xml:space="preserve">、春节等节假日运维保障、考核制度及内容等）进行综合打分：</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①内容齐全、服务周到、可行性强的得</w:t>
            </w:r>
            <w:r>
              <w:rPr>
                <w:rFonts w:hint="eastAsia" w:ascii="Times New Roman" w:hAnsi="Times New Roman"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lang w:val="en-US" w:eastAsia="zh-CN"/>
              </w:rPr>
              <w:t xml:space="preserve">分；</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②内容较齐全、服务比较周到、可行性不强的得2分；</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③内容有缺漏项，服务不细致、缺乏可行性得1分；</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④未提供不予得分</w:t>
            </w:r>
            <w:r>
              <w:rPr>
                <w:rFonts w:hint="eastAsia" w:ascii="Times New Roman" w:hAnsi="Times New Roman" w:cs="Times New Roman"/>
                <w:color w:val="auto"/>
                <w:sz w:val="24"/>
                <w:szCs w:val="24"/>
                <w:highlight w:val="none"/>
                <w:lang w:val="en-US" w:eastAsia="zh-CN"/>
              </w:rPr>
              <w:t xml:space="preserve">。</w:t>
            </w:r>
            <w:r/>
          </w:p>
        </w:tc>
      </w:tr>
      <w:tr>
        <w:trPr>
          <w:jc w:val="center"/>
          <w:trHeight w:val="1630"/>
        </w:trPr>
        <w:tc>
          <w:tcPr>
            <w:tcW w:w="111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r>
            <w:r/>
          </w:p>
        </w:tc>
        <w:tc>
          <w:tcPr>
            <w:tcW w:w="1110" w:type="dxa"/>
            <w:vAlign w:val="center"/>
            <w:vMerge w:val="continue"/>
            <w:textDirection w:val="lrTb"/>
            <w:noWrap w:val="false"/>
          </w:tcPr>
          <w:p>
            <w:pPr>
              <w:numPr>
                <w:ilvl w:val="0"/>
                <w:numId w:val="0"/>
              </w:num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r>
            <w:r/>
          </w:p>
        </w:tc>
        <w:tc>
          <w:tcPr>
            <w:tcW w:w="757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lang w:val="en-US" w:eastAsia="zh-CN"/>
              </w:rPr>
              <w:t xml:space="preserve">、根据供应商针对本项目的重难点分析及对策</w:t>
            </w:r>
            <w:r>
              <w:rPr>
                <w:rFonts w:hint="eastAsia" w:ascii="Times New Roman" w:hAnsi="Times New Roman" w:cs="Times New Roman"/>
                <w:color w:val="auto"/>
                <w:sz w:val="24"/>
                <w:szCs w:val="24"/>
                <w:highlight w:val="none"/>
                <w:lang w:val="en-US" w:eastAsia="zh-CN"/>
              </w:rPr>
              <w:t xml:space="preserve">（包含但不限于对本项目运维成本的控制、提高群众配合度的措施等）</w:t>
            </w:r>
            <w:r>
              <w:rPr>
                <w:rFonts w:hint="eastAsia" w:ascii="Times New Roman" w:hAnsi="Times New Roman" w:eastAsia="宋体" w:cs="Times New Roman"/>
                <w:color w:val="auto"/>
                <w:sz w:val="24"/>
                <w:szCs w:val="24"/>
                <w:highlight w:val="none"/>
                <w:lang w:val="en-US" w:eastAsia="zh-CN"/>
              </w:rPr>
              <w:t xml:space="preserve">进行综合打分：</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①分析到位且措施合理的得4分；</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②分析基本到位但措施一般的得2分；</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③分析不明确且措施不够合理的得1分；</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④未提供不予得分</w:t>
            </w:r>
            <w:r>
              <w:rPr>
                <w:rFonts w:hint="eastAsia" w:ascii="Times New Roman" w:hAnsi="Times New Roman" w:cs="Times New Roman"/>
                <w:color w:val="auto"/>
                <w:sz w:val="24"/>
                <w:szCs w:val="24"/>
                <w:highlight w:val="none"/>
                <w:lang w:val="en-US" w:eastAsia="zh-CN"/>
              </w:rPr>
              <w:t xml:space="preserve">。</w:t>
            </w:r>
            <w:r/>
          </w:p>
        </w:tc>
      </w:tr>
      <w:tr>
        <w:trPr>
          <w:jc w:val="center"/>
          <w:trHeight w:val="619"/>
        </w:trPr>
        <w:tc>
          <w:tcPr>
            <w:tcW w:w="11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项目人员、物资配置</w:t>
            </w:r>
            <w:r/>
          </w:p>
        </w:tc>
        <w:tc>
          <w:tcPr>
            <w:tcW w:w="111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cs="Times New Roman"/>
                <w:color w:val="auto"/>
                <w:sz w:val="24"/>
                <w:szCs w:val="24"/>
                <w:highlight w:val="none"/>
                <w:lang w:val="en-US" w:eastAsia="zh-CN"/>
              </w:rPr>
              <w:t xml:space="preserve">28</w:t>
            </w:r>
            <w:r>
              <w:rPr>
                <w:rFonts w:hint="eastAsia" w:ascii="Times New Roman" w:hAnsi="Times New Roman" w:eastAsia="宋体" w:cs="Times New Roman"/>
                <w:color w:val="auto"/>
                <w:sz w:val="24"/>
                <w:szCs w:val="24"/>
                <w:highlight w:val="none"/>
                <w:lang w:val="en-US" w:eastAsia="zh-CN"/>
              </w:rPr>
              <w:t xml:space="preserve">分</w:t>
            </w:r>
            <w:r/>
          </w:p>
        </w:tc>
        <w:tc>
          <w:tcPr>
            <w:tcW w:w="757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rPr>
              <w:t xml:space="preserve">拟派的项目负责人必须具备机电工程专业二级及以上建造师证书（必须同时持有安全B证），同时具备建设工程序列中级及以上工程师职称的得6分；</w:t>
            </w:r>
            <w:r/>
          </w:p>
          <w:p>
            <w:pPr>
              <w:numPr>
                <w:ilvl w:val="0"/>
                <w:numId w:val="0"/>
              </w:numPr>
              <w:ind w:left="0" w:right="0"/>
              <w:jc w:val="left"/>
              <w:keepLines w:val="0"/>
              <w:keepNext w:val="0"/>
              <w:pageBreakBefore w:val="0"/>
              <w:spacing w:before="0" w:beforeAutospacing="0" w:after="0" w:afterAutospacing="0" w:line="240" w:lineRule="auto"/>
              <w:widowControl w:val="off"/>
              <w:rPr>
                <w:rFonts w:hint="default"/>
                <w:color w:val="auto"/>
                <w:sz w:val="24"/>
                <w:szCs w:val="24"/>
                <w:highlight w:val="none"/>
                <w:lang w:val="en-US" w:eastAsia="zh-CN"/>
              </w:rPr>
              <w:suppressLineNumbers w:val="0"/>
            </w:pPr>
            <w:r>
              <w:rPr>
                <w:rFonts w:hint="default" w:ascii="Calibri" w:hAnsi="Calibri"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rPr>
              <w:t xml:space="preserve">拟派的技术负责人具备建设工程序列中级工程师职称资格得得3分，具备建设工程序列高级工程师职称资格得6分，该部分最高得6分；</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default" w:ascii="Calibri" w:hAnsi="Calibri"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rPr>
              <w:t xml:space="preserve">项目组其他任一成员具备建设工程序列中级工程师职称资格的，得</w:t>
            </w: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分，具备建设工程序列高级工程师职称资格的，得</w:t>
            </w:r>
            <w:r>
              <w:rPr>
                <w:rFonts w:hint="eastAsia" w:ascii="Times New Roman" w:hAnsi="Times New Roman"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lang w:val="en-US" w:eastAsia="zh-CN"/>
              </w:rPr>
              <w:t xml:space="preserve">分，该部分最高得</w:t>
            </w:r>
            <w:r>
              <w:rPr>
                <w:rFonts w:hint="eastAsia" w:ascii="Times New Roman" w:hAnsi="Times New Roman"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lang w:val="en-US" w:eastAsia="zh-CN"/>
              </w:rPr>
              <w:t xml:space="preserve">分；</w:t>
            </w:r>
            <w:bookmarkStart w:id="225" w:name="_GoBack"/>
            <w:r/>
            <w:bookmarkEnd w:id="225"/>
            <w:r/>
            <w:r/>
          </w:p>
          <w:p>
            <w:pPr>
              <w:ind w:left="0" w:right="0"/>
              <w:jc w:val="left"/>
              <w:keepLines w:val="0"/>
              <w:keepNext w:val="0"/>
              <w:spacing w:before="0" w:beforeAutospacing="0" w:after="0" w:afterAutospacing="0"/>
              <w:widowControl w:val="off"/>
              <w:rPr>
                <w:color w:val="auto"/>
                <w:sz w:val="24"/>
                <w:szCs w:val="24"/>
                <w:highlight w:val="none"/>
                <w:lang w:val="en-US"/>
              </w:rPr>
              <w:suppressLineNumbers w:val="0"/>
            </w:pPr>
            <w:r>
              <w:rPr>
                <w:rFonts w:hint="eastAsia" w:ascii="Times New Roman" w:hAnsi="Times New Roman" w:eastAsia="宋体" w:cs="宋体"/>
                <w:color w:val="auto"/>
                <w:sz w:val="24"/>
                <w:szCs w:val="24"/>
                <w:highlight w:val="none"/>
                <w:lang w:val="en-US" w:eastAsia="zh-CN" w:bidi="ar"/>
              </w:rPr>
              <w:t xml:space="preserve">以上评分点须提供拟派项目组人员一览表（与资格审查材料中人员一致）、相关人员证书及供应商为表中人员缴纳的</w:t>
            </w:r>
            <w:r>
              <w:rPr>
                <w:rFonts w:hint="eastAsia" w:ascii="Times New Roman" w:hAnsi="Times New Roman" w:cs="宋体"/>
                <w:color w:val="auto"/>
                <w:sz w:val="24"/>
                <w:szCs w:val="24"/>
                <w:highlight w:val="none"/>
                <w:lang w:val="en-US" w:eastAsia="zh-CN" w:bidi="ar"/>
              </w:rPr>
              <w:t xml:space="preserve">开标前六个月内（不含开标当月）连续三个月的</w:t>
            </w:r>
            <w:r>
              <w:rPr>
                <w:rFonts w:hint="eastAsia" w:ascii="Times New Roman" w:hAnsi="Times New Roman" w:eastAsia="宋体" w:cs="宋体"/>
                <w:color w:val="auto"/>
                <w:sz w:val="24"/>
                <w:szCs w:val="24"/>
                <w:highlight w:val="none"/>
                <w:lang w:val="en-US" w:eastAsia="zh-CN" w:bidi="ar"/>
              </w:rPr>
              <w:t xml:space="preserve">养老保险缴费证明。如为退休人员，无需提供社保证明，但必须提供退休证书以及返聘合同。</w:t>
            </w:r>
            <w:r/>
          </w:p>
          <w:p>
            <w:pPr>
              <w:numPr>
                <w:ilvl w:val="0"/>
                <w:numId w:val="0"/>
              </w:numPr>
              <w:ind w:left="0" w:right="0"/>
              <w:jc w:val="left"/>
              <w:keepLines w:val="0"/>
              <w:keepNext w:val="0"/>
              <w:pageBreakBefore w:val="0"/>
              <w:spacing w:before="0" w:beforeAutospacing="0" w:after="0" w:afterAutospacing="0" w:line="240" w:lineRule="auto"/>
              <w:widowControl w:val="off"/>
              <w:rPr>
                <w:rFonts w:hint="default"/>
                <w:color w:val="auto"/>
                <w:sz w:val="24"/>
                <w:szCs w:val="24"/>
                <w:highlight w:val="none"/>
                <w:lang w:val="en-US" w:eastAsia="zh-CN"/>
              </w:rPr>
              <w:suppressLineNumbers w:val="0"/>
            </w:pPr>
            <w:r>
              <w:rPr>
                <w:rFonts w:hint="default" w:ascii="Times New Roman" w:hAnsi="Times New Roman" w:eastAsia="宋体"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rPr>
              <w:t xml:space="preserve">提供负压备品耗材库存表及相关发票证明图片加</w:t>
            </w:r>
            <w:r>
              <w:rPr>
                <w:rFonts w:hint="eastAsia" w:ascii="Times New Roman" w:hAnsi="Times New Roman" w:cs="Times New Roman"/>
                <w:color w:val="auto"/>
                <w:sz w:val="24"/>
                <w:szCs w:val="24"/>
                <w:highlight w:val="none"/>
                <w:lang w:val="en-US" w:eastAsia="zh-CN"/>
              </w:rPr>
              <w:t xml:space="preserve">10</w:t>
            </w:r>
            <w:r>
              <w:rPr>
                <w:rFonts w:hint="eastAsia" w:ascii="Times New Roman" w:hAnsi="Times New Roman" w:eastAsia="宋体" w:cs="Times New Roman"/>
                <w:color w:val="auto"/>
                <w:sz w:val="24"/>
                <w:szCs w:val="24"/>
                <w:highlight w:val="none"/>
                <w:lang w:val="en-US" w:eastAsia="zh-CN"/>
              </w:rPr>
              <w:t xml:space="preserve">分</w:t>
            </w:r>
            <w:r>
              <w:rPr>
                <w:rFonts w:hint="eastAsia" w:ascii="Times New Roman" w:hAnsi="Times New Roman"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提供重力备品耗材库存表及相关发票证明图片加3分</w:t>
            </w:r>
            <w:r>
              <w:rPr>
                <w:rFonts w:hint="eastAsia" w:ascii="Times New Roman" w:hAnsi="Times New Roman"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该部分最高得</w:t>
            </w:r>
            <w:r>
              <w:rPr>
                <w:rFonts w:hint="eastAsia" w:ascii="Times New Roman" w:hAnsi="Times New Roman" w:cs="Times New Roman"/>
                <w:color w:val="auto"/>
                <w:sz w:val="24"/>
                <w:szCs w:val="24"/>
                <w:highlight w:val="none"/>
                <w:lang w:val="en-US" w:eastAsia="zh-CN"/>
              </w:rPr>
              <w:t xml:space="preserve">10</w:t>
            </w:r>
            <w:r>
              <w:rPr>
                <w:rFonts w:hint="eastAsia" w:ascii="Times New Roman" w:hAnsi="Times New Roman" w:eastAsia="宋体" w:cs="Times New Roman"/>
                <w:color w:val="auto"/>
                <w:sz w:val="24"/>
                <w:szCs w:val="24"/>
                <w:highlight w:val="none"/>
                <w:lang w:val="en-US" w:eastAsia="zh-CN"/>
              </w:rPr>
              <w:t xml:space="preserve">分</w:t>
            </w:r>
            <w:r>
              <w:rPr>
                <w:rFonts w:hint="eastAsia" w:ascii="Times New Roman" w:hAnsi="Times New Roman" w:cs="Times New Roman"/>
                <w:color w:val="auto"/>
                <w:sz w:val="24"/>
                <w:szCs w:val="24"/>
                <w:highlight w:val="none"/>
                <w:lang w:val="en-US" w:eastAsia="zh-CN"/>
              </w:rPr>
              <w:t xml:space="preserve">，未提供或提供不全不得分。</w:t>
            </w:r>
            <w:r/>
          </w:p>
        </w:tc>
      </w:tr>
      <w:tr>
        <w:trPr>
          <w:jc w:val="center"/>
          <w:trHeight w:val="619"/>
        </w:trPr>
        <w:tc>
          <w:tcPr>
            <w:tcW w:w="11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企业资质</w:t>
            </w:r>
            <w:r/>
          </w:p>
        </w:tc>
        <w:tc>
          <w:tcPr>
            <w:tcW w:w="111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lang w:val="en-US" w:eastAsia="zh-CN"/>
              </w:rPr>
              <w:t xml:space="preserve">分</w:t>
            </w:r>
            <w:r/>
          </w:p>
        </w:tc>
        <w:tc>
          <w:tcPr>
            <w:tcW w:w="757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投标人</w:t>
            </w:r>
            <w:r>
              <w:rPr>
                <w:rFonts w:hint="eastAsia" w:ascii="Times New Roman" w:hAnsi="Times New Roman" w:eastAsia="宋体" w:cs="Times New Roman"/>
                <w:color w:val="auto"/>
                <w:sz w:val="24"/>
                <w:szCs w:val="24"/>
                <w:highlight w:val="none"/>
                <w:lang w:val="en-US" w:eastAsia="zh-CN" w:bidi="ar"/>
              </w:rPr>
              <w:t xml:space="preserve">有效期内的</w:t>
            </w:r>
            <w:r>
              <w:rPr>
                <w:rFonts w:hint="eastAsia" w:ascii="Times New Roman" w:hAnsi="Times New Roman" w:eastAsia="宋体" w:cs="Times New Roman"/>
                <w:color w:val="auto"/>
                <w:sz w:val="24"/>
                <w:szCs w:val="24"/>
                <w:highlight w:val="none"/>
                <w:lang w:val="en-US" w:eastAsia="zh-CN"/>
              </w:rPr>
              <w:t xml:space="preserve">质量管理体系认证、环境管理体系认证、职业健康安全管理体系认证</w:t>
            </w:r>
            <w:r>
              <w:rPr>
                <w:rFonts w:hint="eastAsia" w:ascii="Times New Roman" w:hAnsi="Times New Roman" w:cs="Times New Roman"/>
                <w:color w:val="auto"/>
                <w:sz w:val="24"/>
                <w:szCs w:val="24"/>
                <w:highlight w:val="none"/>
                <w:lang w:val="en-US" w:eastAsia="zh-CN"/>
              </w:rPr>
              <w:t xml:space="preserve">证书，提供证书复印件或扫描件，</w:t>
            </w:r>
            <w:r>
              <w:rPr>
                <w:rFonts w:hint="eastAsia" w:ascii="Times New Roman" w:hAnsi="Times New Roman" w:eastAsia="宋体" w:cs="Times New Roman"/>
                <w:color w:val="auto"/>
                <w:sz w:val="24"/>
                <w:szCs w:val="24"/>
                <w:highlight w:val="none"/>
                <w:lang w:val="en-US" w:eastAsia="zh-CN"/>
              </w:rPr>
              <w:t xml:space="preserve">每</w:t>
            </w:r>
            <w:r>
              <w:rPr>
                <w:rFonts w:hint="eastAsia" w:ascii="Times New Roman" w:hAnsi="Times New Roman" w:cs="Times New Roman"/>
                <w:color w:val="auto"/>
                <w:sz w:val="24"/>
                <w:szCs w:val="24"/>
                <w:highlight w:val="none"/>
                <w:lang w:val="en-US" w:eastAsia="zh-CN"/>
              </w:rPr>
              <w:t xml:space="preserve">有1</w:t>
            </w:r>
            <w:r>
              <w:rPr>
                <w:rFonts w:hint="eastAsia" w:ascii="Times New Roman" w:hAnsi="Times New Roman" w:eastAsia="宋体" w:cs="Times New Roman"/>
                <w:color w:val="auto"/>
                <w:sz w:val="24"/>
                <w:szCs w:val="24"/>
                <w:highlight w:val="none"/>
                <w:lang w:val="en-US" w:eastAsia="zh-CN"/>
              </w:rPr>
              <w:t xml:space="preserve">项得</w:t>
            </w:r>
            <w:r>
              <w:rPr>
                <w:rFonts w:hint="eastAsia" w:ascii="Times New Roman" w:hAnsi="Times New Roman"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分，最高得</w:t>
            </w:r>
            <w:r>
              <w:rPr>
                <w:rFonts w:hint="eastAsia" w:ascii="Times New Roman" w:hAnsi="Times New Roman"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lang w:val="en-US" w:eastAsia="zh-CN"/>
              </w:rPr>
              <w:t xml:space="preserve">分</w:t>
            </w:r>
            <w:r>
              <w:rPr>
                <w:rFonts w:hint="eastAsia" w:ascii="Times New Roman" w:hAnsi="Times New Roman" w:cs="Times New Roman"/>
                <w:color w:val="auto"/>
                <w:sz w:val="24"/>
                <w:szCs w:val="24"/>
                <w:highlight w:val="none"/>
                <w:lang w:val="en-US" w:eastAsia="zh-CN"/>
              </w:rPr>
              <w:t xml:space="preserve">。</w:t>
            </w:r>
            <w:r/>
          </w:p>
        </w:tc>
      </w:tr>
      <w:tr>
        <w:trPr>
          <w:jc w:val="center"/>
          <w:trHeight w:val="619"/>
        </w:trPr>
        <w:tc>
          <w:tcPr>
            <w:tcW w:w="11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业绩</w:t>
            </w:r>
            <w:r/>
          </w:p>
        </w:tc>
        <w:tc>
          <w:tcPr>
            <w:tcW w:w="111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lang w:val="en-US" w:eastAsia="zh-CN"/>
              </w:rPr>
              <w:t xml:space="preserve">分</w:t>
            </w:r>
            <w:r/>
          </w:p>
        </w:tc>
        <w:tc>
          <w:tcPr>
            <w:tcW w:w="757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供应商</w:t>
            </w:r>
            <w:r>
              <w:rPr>
                <w:rFonts w:hint="eastAsia" w:ascii="Times New Roman" w:hAnsi="Times New Roman" w:cs="Times New Roman"/>
                <w:color w:val="auto"/>
                <w:sz w:val="24"/>
                <w:szCs w:val="24"/>
                <w:highlight w:val="none"/>
                <w:lang w:val="en-US" w:eastAsia="zh-CN"/>
              </w:rPr>
              <w:t xml:space="preserve">自2022年12月1日以来（以签订合同时间为准），</w:t>
            </w:r>
            <w:r>
              <w:rPr>
                <w:rFonts w:hint="eastAsia" w:ascii="Times New Roman" w:hAnsi="Times New Roman" w:eastAsia="宋体" w:cs="Times New Roman"/>
                <w:color w:val="auto"/>
                <w:sz w:val="24"/>
                <w:szCs w:val="24"/>
                <w:highlight w:val="none"/>
                <w:lang w:val="en-US" w:eastAsia="zh-CN"/>
              </w:rPr>
              <w:t xml:space="preserve">具有负压运维项目业绩每有一个加</w:t>
            </w:r>
            <w:r>
              <w:rPr>
                <w:rFonts w:hint="eastAsia" w:ascii="Times New Roman" w:hAnsi="Times New Roman"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lang w:val="en-US" w:eastAsia="zh-CN"/>
              </w:rPr>
              <w:t xml:space="preserve">分，具有重力运维项目业绩每有一个加</w:t>
            </w: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分，</w:t>
            </w:r>
            <w:r>
              <w:rPr>
                <w:rFonts w:hint="eastAsia" w:ascii="Times New Roman" w:hAnsi="Times New Roman" w:eastAsia="宋体" w:cs="Times New Roman"/>
                <w:color w:val="auto"/>
                <w:sz w:val="24"/>
                <w:szCs w:val="24"/>
                <w:highlight w:val="none"/>
                <w:shd w:val="clear" w:color="auto"/>
                <w:lang w:val="en-US" w:eastAsia="zh-CN"/>
              </w:rPr>
              <w:t xml:space="preserve">最多提供</w:t>
            </w:r>
            <w:r>
              <w:rPr>
                <w:rFonts w:hint="eastAsia" w:ascii="Times New Roman" w:hAnsi="Times New Roman" w:cs="Times New Roman"/>
                <w:color w:val="auto"/>
                <w:sz w:val="24"/>
                <w:szCs w:val="24"/>
                <w:highlight w:val="none"/>
                <w:shd w:val="clear" w:color="auto"/>
                <w:lang w:val="en-US" w:eastAsia="zh-CN"/>
              </w:rPr>
              <w:t xml:space="preserve">2</w:t>
            </w:r>
            <w:r>
              <w:rPr>
                <w:rFonts w:hint="eastAsia" w:ascii="Times New Roman" w:hAnsi="Times New Roman" w:eastAsia="宋体" w:cs="Times New Roman"/>
                <w:color w:val="auto"/>
                <w:sz w:val="24"/>
                <w:szCs w:val="24"/>
                <w:highlight w:val="none"/>
                <w:shd w:val="clear" w:color="auto"/>
                <w:lang w:val="en-US" w:eastAsia="zh-CN"/>
              </w:rPr>
              <w:t xml:space="preserve">个业绩</w:t>
            </w:r>
            <w:r>
              <w:rPr>
                <w:rFonts w:hint="eastAsia" w:ascii="Times New Roman" w:hAnsi="Times New Roman" w:eastAsia="宋体" w:cs="Times New Roman"/>
                <w:color w:val="auto"/>
                <w:sz w:val="24"/>
                <w:szCs w:val="24"/>
                <w:highlight w:val="none"/>
                <w:lang w:val="en-US" w:eastAsia="zh-CN"/>
              </w:rPr>
              <w:t xml:space="preserve">，最高得</w:t>
            </w:r>
            <w:r>
              <w:rPr>
                <w:rFonts w:hint="eastAsia" w:ascii="Times New Roman" w:hAnsi="Times New Roman"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lang w:val="en-US" w:eastAsia="zh-CN"/>
              </w:rPr>
              <w:t xml:space="preserve">分。</w:t>
            </w:r>
            <w:r/>
          </w:p>
          <w:p>
            <w:pPr>
              <w:numPr>
                <w:ilvl w:val="0"/>
                <w:numId w:val="0"/>
              </w:numPr>
              <w:ind w:left="0" w:right="0"/>
              <w:jc w:val="left"/>
              <w:keepLines w:val="0"/>
              <w:keepNext w:val="0"/>
              <w:pageBreakBefore w:val="0"/>
              <w:spacing w:before="0" w:beforeAutospacing="0" w:after="0" w:afterAutospacing="0" w:line="240" w:lineRule="auto"/>
              <w:widowControl w:val="off"/>
              <w:rPr>
                <w:rFonts w:hint="default" w:ascii="Times New Roman" w:hAnsi="Times New Roman" w:eastAsia="宋体" w:cs="Times New Roman"/>
                <w:color w:val="auto"/>
                <w:sz w:val="24"/>
                <w:szCs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rPr>
              <w:t xml:space="preserve">需提供合同复印件，且合同包含明确运维项目类型，否则不得分。</w:t>
            </w:r>
            <w:r/>
          </w:p>
        </w:tc>
      </w:tr>
    </w:tbl>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商务技术标部分评审时，评标委员会成员分别对每个有效供应商的标书进行评价、打分。技术分按算术平均值计算。分值四舍五入，保留小数点后两位。</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注：①请供应商对“评分标准表”中的所有打分项逐一响应并提供证明文件，放在“商务技术</w:t>
      </w:r>
      <w:r>
        <w:rPr>
          <w:rFonts w:hint="eastAsia" w:ascii="宋体" w:hAnsi="宋体" w:cs="宋体"/>
          <w:b/>
          <w:color w:val="auto"/>
          <w:sz w:val="24"/>
          <w:szCs w:val="24"/>
          <w:highlight w:val="none"/>
          <w:lang w:val="en-US" w:eastAsia="zh-CN"/>
        </w:rPr>
        <w:t xml:space="preserve">文件</w:t>
      </w:r>
      <w:r>
        <w:rPr>
          <w:rFonts w:hint="eastAsia" w:ascii="宋体" w:hAnsi="宋体" w:cs="宋体"/>
          <w:b/>
          <w:color w:val="auto"/>
          <w:sz w:val="24"/>
          <w:szCs w:val="24"/>
          <w:highlight w:val="none"/>
        </w:rPr>
        <w:t xml:space="preserve">材料”中。 </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②请供应商制作磋商响应文件的时保证图片、文字材料的完整、清晰可辨，任何原因导致评委看不清楚或无法查看，后果由供应商自负。</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p>
    <w:p>
      <w:pPr>
        <w:pStyle w:val="984"/>
        <w:ind w:firstLine="482"/>
        <w:keepLines w:val="0"/>
        <w:keepNext w:val="0"/>
        <w:pageBreakBefore w:val="0"/>
        <w:spacing w:line="360" w:lineRule="auto"/>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（二）价格标部分（</w:t>
      </w:r>
      <w:r>
        <w:rPr>
          <w:rFonts w:hint="eastAsia" w:ascii="宋体" w:hAnsi="宋体" w:eastAsia="宋体"/>
          <w:b/>
          <w:bCs/>
          <w:color w:val="auto"/>
          <w:sz w:val="24"/>
          <w:szCs w:val="24"/>
          <w:highlight w:val="none"/>
          <w:lang w:val="en-US" w:eastAsia="zh-CN"/>
        </w:rPr>
        <w:t xml:space="preserve">3</w:t>
      </w:r>
      <w:r>
        <w:rPr>
          <w:rFonts w:hint="eastAsia" w:ascii="宋体" w:hAnsi="宋体" w:eastAsia="宋体"/>
          <w:b/>
          <w:bCs/>
          <w:color w:val="auto"/>
          <w:sz w:val="24"/>
          <w:szCs w:val="24"/>
          <w:highlight w:val="none"/>
        </w:rPr>
        <w:t xml:space="preserve">0分）</w:t>
      </w:r>
      <w:bookmarkEnd w:id="191"/>
      <w:r/>
      <w:r/>
    </w:p>
    <w:tbl>
      <w:tblPr>
        <w:tblStyle w:val="675"/>
        <w:tblpPr w:horzAnchor="page" w:tblpX="1280" w:vertAnchor="text" w:tblpY="250" w:leftFromText="180" w:topFromText="0" w:rightFromText="180" w:bottomFromText="0"/>
        <w:tblW w:w="96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482"/>
        <w:gridCol w:w="1473"/>
        <w:gridCol w:w="6650"/>
      </w:tblGrid>
      <w:tr>
        <w:trPr>
          <w:trHeight w:val="435"/>
        </w:trPr>
        <w:tc>
          <w:tcPr>
            <w:tcW w:w="148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评标内容</w:t>
            </w:r>
            <w:r/>
          </w:p>
        </w:tc>
        <w:tc>
          <w:tcPr>
            <w:tcW w:w="1473"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分值</w:t>
            </w:r>
            <w:r/>
          </w:p>
        </w:tc>
        <w:tc>
          <w:tcPr>
            <w:tcW w:w="665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评分细则</w:t>
            </w:r>
            <w:r/>
          </w:p>
        </w:tc>
      </w:tr>
      <w:tr>
        <w:trPr>
          <w:trHeight w:val="1635"/>
        </w:trPr>
        <w:tc>
          <w:tcPr>
            <w:tcW w:w="148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价格标得分 </w:t>
            </w:r>
            <w:r/>
          </w:p>
        </w:tc>
        <w:tc>
          <w:tcPr>
            <w:tcW w:w="1473"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p>
        </w:tc>
        <w:tc>
          <w:tcPr>
            <w:tcW w:w="665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磋商报价得分=（磋商基准价/最后磋商报价）×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0（分值四舍五入，保留小数点后两位）</w:t>
            </w:r>
            <w:r/>
          </w:p>
        </w:tc>
      </w:tr>
    </w:tbl>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1</w:t>
      </w:r>
      <w:r>
        <w:rPr>
          <w:rFonts w:hint="eastAsia" w:ascii="宋体" w:hAnsi="宋体" w:cs="宋体"/>
          <w:b/>
          <w:bCs w:val="0"/>
          <w:color w:val="auto"/>
          <w:sz w:val="24"/>
          <w:szCs w:val="24"/>
          <w:highlight w:val="none"/>
        </w:rPr>
        <w:t xml:space="preserve">、异常低价审查</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.1、根据省财政厅《关于推动解决政府采购异常低价问题相关工作的通知》（苏财购〔2025〕62号）要求，评审过程中出现下列情形之一的，评审委员会应当启动异常低价投标（响应）审查程序：</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（1）投标(响应)报价低于采购项目预算50%的，即投标(响应)报价&lt;采购项目预算×50%;</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（2）投标(响应)报价低于采购项目最高限价45%的，即投标(响应)报价&lt;采购项目最高限价×45%;</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（3）评审委员会认定的供应商报价过低、有可能影响产品质量或者不能诚信履约的其他情形。</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both"/>
        <w:keepLines/>
        <w:keepNext/>
        <w:pageBreakBefore w:val="0"/>
        <w:spacing w:line="360" w:lineRule="auto"/>
        <w:widowControl w:val="off"/>
        <w:rPr>
          <w:rFonts w:ascii="宋体" w:cs="仿宋_GB2312"/>
          <w:b/>
          <w:bCs/>
          <w:color w:val="auto"/>
          <w:sz w:val="24"/>
          <w:szCs w:val="24"/>
          <w:highlight w:val="none"/>
        </w:rPr>
        <w:outlineLvl w:val="9"/>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成交</w:t>
      </w:r>
      <w:r>
        <w:rPr>
          <w:rFonts w:hint="eastAsia" w:ascii="宋体" w:hAnsi="宋体" w:cs="仿宋_GB2312"/>
          <w:b/>
          <w:bCs/>
          <w:color w:val="auto"/>
          <w:sz w:val="24"/>
          <w:szCs w:val="24"/>
          <w:highlight w:val="none"/>
        </w:rPr>
        <w:t xml:space="preserve">供应商的确定</w:t>
      </w:r>
      <w:r/>
    </w:p>
    <w:p>
      <w:pPr>
        <w:ind w:firstLine="482"/>
        <w:jc w:val="both"/>
        <w:pageBreakBefore w:val="0"/>
        <w:spacing w:line="360" w:lineRule="auto"/>
        <w:widowControl w:val="off"/>
        <w:rPr>
          <w:rFonts w:ascii="宋体" w:hAnsi="宋体" w:cs="宋体"/>
          <w:b/>
          <w:bCs/>
          <w:color w:val="auto"/>
          <w:sz w:val="24"/>
          <w:szCs w:val="24"/>
          <w:highlight w:val="none"/>
          <w:lang w:bidi="ar"/>
        </w:rPr>
        <w:outlineLvl w:val="9"/>
      </w:pPr>
      <w:r>
        <w:rPr>
          <w:rFonts w:hint="eastAsia" w:ascii="宋体" w:hAnsi="宋体" w:cs="宋体"/>
          <w:b/>
          <w:bCs/>
          <w:color w:val="auto"/>
          <w:sz w:val="24"/>
          <w:szCs w:val="24"/>
          <w:highlight w:val="none"/>
          <w:lang w:bidi="ar"/>
        </w:rPr>
        <w:t xml:space="preserve">采用综合评分法，即在满足磋商文件实质性要求前提下，按照磋商文件中规定的评分标准和各项因素进行综合评审后，以评标总得分最高的供应商作为成交候选人，综合评分相等的，以报价低的优先；报价也相等的，抽签决定。</w:t>
      </w:r>
      <w:r/>
    </w:p>
    <w:p>
      <w:pPr>
        <w:ind w:firstLine="482"/>
        <w:jc w:val="both"/>
        <w:pageBreakBefore w:val="0"/>
        <w:spacing w:line="360" w:lineRule="auto"/>
        <w:widowControl w:val="off"/>
        <w:rPr>
          <w:rFonts w:ascii="宋体" w:hAnsi="宋体" w:cs="宋体"/>
          <w:b/>
          <w:bCs/>
          <w:color w:val="auto"/>
          <w:sz w:val="24"/>
          <w:szCs w:val="24"/>
          <w:highlight w:val="none"/>
          <w:lang w:bidi="ar"/>
        </w:rPr>
        <w:outlineLvl w:val="9"/>
      </w:pPr>
      <w:r>
        <w:rPr>
          <w:rFonts w:hint="eastAsia" w:ascii="宋体" w:hAnsi="宋体" w:cs="宋体"/>
          <w:b/>
          <w:bCs/>
          <w:color w:val="auto"/>
          <w:sz w:val="24"/>
          <w:szCs w:val="24"/>
          <w:highlight w:val="none"/>
          <w:lang w:bidi="ar"/>
        </w:rPr>
        <w:t xml:space="preserve">对评委的评分计取平均值后（除价格分外）进行统计汇总，计算出每个供应商的得分，加上价格得分即为每个供应商的综合得分。</w:t>
      </w:r>
      <w:r/>
    </w:p>
    <w:p>
      <w:pPr>
        <w:ind w:firstLine="482"/>
        <w:jc w:val="both"/>
        <w:pageBreakBefore w:val="0"/>
        <w:spacing w:line="360" w:lineRule="auto"/>
        <w:widowControl w:val="off"/>
        <w:rPr>
          <w:rFonts w:ascii="宋体" w:hAnsi="宋体" w:cs="宋体"/>
          <w:b/>
          <w:bCs/>
          <w:color w:val="auto"/>
          <w:sz w:val="24"/>
          <w:szCs w:val="24"/>
          <w:highlight w:val="none"/>
          <w:lang w:bidi="ar"/>
        </w:rPr>
        <w:outlineLvl w:val="9"/>
      </w:pPr>
      <w:r>
        <w:rPr>
          <w:rFonts w:hint="eastAsia" w:ascii="宋体" w:hAnsi="宋体" w:cs="宋体"/>
          <w:b/>
          <w:bCs/>
          <w:color w:val="auto"/>
          <w:sz w:val="24"/>
          <w:szCs w:val="24"/>
          <w:highlight w:val="none"/>
          <w:lang w:bidi="ar"/>
        </w:rPr>
        <w:t xml:space="preserve">评标委员会将向采购人推荐评标最后综合得分最高的前三名供应商为成交候选人，并标明排列顺序。</w:t>
      </w:r>
      <w:r/>
    </w:p>
    <w:p>
      <w:pPr>
        <w:ind w:firstLine="482"/>
        <w:jc w:val="both"/>
        <w:pageBreakBefore w:val="0"/>
        <w:spacing w:line="360" w:lineRule="auto"/>
        <w:widowControl w:val="off"/>
        <w:rPr>
          <w:rFonts w:ascii="宋体" w:hAnsi="宋体" w:cs="宋体"/>
          <w:b/>
          <w:bCs/>
          <w:color w:val="auto"/>
          <w:sz w:val="24"/>
          <w:szCs w:val="24"/>
          <w:highlight w:val="none"/>
          <w:lang w:bidi="ar"/>
        </w:rPr>
        <w:outlineLvl w:val="9"/>
      </w:pPr>
      <w:r>
        <w:rPr>
          <w:rFonts w:hint="eastAsia" w:ascii="宋体" w:hAnsi="宋体" w:cs="宋体"/>
          <w:b/>
          <w:bCs/>
          <w:color w:val="auto"/>
          <w:sz w:val="24"/>
          <w:szCs w:val="24"/>
          <w:highlight w:val="none"/>
          <w:lang w:bidi="ar"/>
        </w:rPr>
        <w:t xml:space="preserve">由评标委员会根据</w:t>
      </w:r>
      <w:r>
        <w:rPr>
          <w:rFonts w:hint="eastAsia" w:ascii="宋体" w:hAnsi="宋体" w:cs="宋体"/>
          <w:b/>
          <w:bCs/>
          <w:color w:val="auto"/>
          <w:sz w:val="24"/>
          <w:szCs w:val="24"/>
          <w:highlight w:val="none"/>
          <w:lang w:val="en-US" w:eastAsia="zh-CN" w:bidi="ar"/>
        </w:rPr>
        <w:t xml:space="preserve">成交</w:t>
      </w:r>
      <w:r>
        <w:rPr>
          <w:rFonts w:hint="eastAsia" w:ascii="宋体" w:hAnsi="宋体" w:cs="宋体"/>
          <w:b/>
          <w:bCs/>
          <w:color w:val="auto"/>
          <w:sz w:val="24"/>
          <w:szCs w:val="24"/>
          <w:highlight w:val="none"/>
          <w:lang w:bidi="ar"/>
        </w:rPr>
        <w:t xml:space="preserve">候选人排序确定第一成交候选人为成交人。 </w:t>
      </w:r>
      <w:r/>
    </w:p>
    <w:p>
      <w:pPr>
        <w:ind w:firstLine="482"/>
        <w:jc w:val="both"/>
        <w:pageBreakBefore w:val="0"/>
        <w:spacing w:line="360" w:lineRule="auto"/>
        <w:widowControl w:val="off"/>
        <w:rPr>
          <w:rFonts w:ascii="宋体" w:hAnsi="宋体" w:cs="宋体"/>
          <w:b/>
          <w:bCs/>
          <w:color w:val="auto"/>
          <w:sz w:val="24"/>
          <w:szCs w:val="24"/>
          <w:highlight w:val="none"/>
          <w:lang w:bidi="ar"/>
        </w:rPr>
        <w:outlineLvl w:val="9"/>
      </w:pPr>
      <w:r>
        <w:rPr>
          <w:rFonts w:hint="eastAsia" w:ascii="宋体" w:hAnsi="宋体" w:cs="宋体"/>
          <w:b/>
          <w:bCs/>
          <w:color w:val="auto"/>
          <w:sz w:val="24"/>
          <w:szCs w:val="24"/>
          <w:highlight w:val="none"/>
          <w:lang w:bidi="ar"/>
        </w:rPr>
        <w:t xml:space="preserve">成交人放弃中标，因不可抗力提出不能履行合同，或者磋商文件规定应当提交履约担保而在规定期限内未能提交的，采购人将按规定取消成交人资格。</w:t>
      </w:r>
      <w:r/>
    </w:p>
    <w:p>
      <w:pPr>
        <w:ind w:firstLine="482"/>
        <w:jc w:val="both"/>
        <w:pageBreakBefore w:val="0"/>
        <w:spacing w:line="360" w:lineRule="auto"/>
        <w:widowControl w:val="off"/>
        <w:rPr>
          <w:rFonts w:ascii="宋体" w:hAnsi="宋体"/>
          <w:b/>
          <w:color w:val="auto"/>
          <w:sz w:val="24"/>
          <w:szCs w:val="24"/>
          <w:highlight w:val="none"/>
        </w:rPr>
        <w:outlineLvl w:val="9"/>
      </w:pPr>
      <w:r>
        <w:rPr>
          <w:rFonts w:hint="eastAsia" w:ascii="宋体" w:hAnsi="宋体"/>
          <w:b/>
          <w:color w:val="auto"/>
          <w:sz w:val="24"/>
          <w:szCs w:val="24"/>
          <w:highlight w:val="none"/>
        </w:rPr>
        <w:t xml:space="preserve">六、变更为其他方式采购的情形</w:t>
      </w:r>
      <w:r/>
    </w:p>
    <w:p>
      <w:pPr>
        <w:ind w:firstLine="480"/>
        <w:jc w:val="both"/>
        <w:pageBreakBefore w:val="0"/>
        <w:spacing w:line="360" w:lineRule="auto"/>
        <w:widowControl w:val="off"/>
        <w:rPr>
          <w:rFonts w:ascii="宋体" w:hAnsi="宋体"/>
          <w:color w:val="auto"/>
          <w:sz w:val="24"/>
          <w:szCs w:val="24"/>
          <w:highlight w:val="none"/>
          <w:lang w:val="zh-CN"/>
        </w:rPr>
        <w:outlineLvl w:val="9"/>
      </w:pPr>
      <w:r>
        <w:rPr>
          <w:rFonts w:hint="eastAsia" w:ascii="宋体" w:hAnsi="宋体"/>
          <w:color w:val="auto"/>
          <w:sz w:val="24"/>
          <w:szCs w:val="24"/>
          <w:highlight w:val="none"/>
        </w:rPr>
        <w:t xml:space="preserve">提交响应文件截止时间时参加磋商的供应商不足3家的，及磋商中出现符合专业条件的供应商或对磋商文件作实质响应的供应商不足3家（规定可以2家的情形除外），除采购任务取消外，</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报告上级主管部门，视情采取其他方式采购。</w:t>
      </w:r>
      <w:r>
        <w:rPr>
          <w:rFonts w:hint="eastAsia" w:ascii="宋体" w:hAnsi="宋体"/>
          <w:color w:val="auto"/>
          <w:sz w:val="24"/>
          <w:szCs w:val="24"/>
          <w:highlight w:val="none"/>
          <w:lang w:val="zh-CN"/>
        </w:rPr>
        <w:t xml:space="preserve">磋商文件中对供应商资质、技术等要求，将作为</w:t>
      </w:r>
      <w:r>
        <w:rPr>
          <w:rFonts w:hint="eastAsia" w:ascii="宋体" w:hAnsi="宋体"/>
          <w:color w:val="auto"/>
          <w:sz w:val="24"/>
          <w:szCs w:val="24"/>
          <w:highlight w:val="none"/>
        </w:rPr>
        <w:t xml:space="preserve">其他</w:t>
      </w:r>
      <w:r>
        <w:rPr>
          <w:rFonts w:hint="eastAsia" w:ascii="宋体" w:hAnsi="宋体"/>
          <w:color w:val="auto"/>
          <w:sz w:val="24"/>
          <w:szCs w:val="24"/>
          <w:highlight w:val="none"/>
          <w:lang w:val="zh-CN"/>
        </w:rPr>
        <w:t xml:space="preserve">方式采购的基本要求和依据。原已经参加磋商并符合要求的供应商，根据自愿原则，参加</w:t>
      </w:r>
      <w:r>
        <w:rPr>
          <w:rFonts w:hint="eastAsia" w:ascii="宋体" w:hAnsi="宋体"/>
          <w:color w:val="auto"/>
          <w:sz w:val="24"/>
          <w:szCs w:val="24"/>
          <w:highlight w:val="none"/>
        </w:rPr>
        <w:t xml:space="preserve">其他</w:t>
      </w:r>
      <w:r>
        <w:rPr>
          <w:rFonts w:hint="eastAsia" w:ascii="宋体" w:hAnsi="宋体"/>
          <w:color w:val="auto"/>
          <w:sz w:val="24"/>
          <w:szCs w:val="24"/>
          <w:highlight w:val="none"/>
          <w:lang w:val="zh-CN"/>
        </w:rPr>
        <w:t xml:space="preserve">方式采购。</w:t>
      </w:r>
      <w:r/>
    </w:p>
    <w:p>
      <w:pPr>
        <w:ind w:firstLine="482"/>
        <w:jc w:val="both"/>
        <w:pageBreakBefore w:val="0"/>
        <w:spacing w:line="360" w:lineRule="auto"/>
        <w:widowControl w:val="off"/>
        <w:rPr>
          <w:rFonts w:ascii="宋体" w:hAnsi="宋体"/>
          <w:b/>
          <w:color w:val="auto"/>
          <w:sz w:val="24"/>
          <w:szCs w:val="24"/>
          <w:highlight w:val="none"/>
        </w:rPr>
        <w:outlineLvl w:val="9"/>
      </w:pPr>
      <w:r>
        <w:rPr>
          <w:rFonts w:hint="eastAsia" w:ascii="宋体" w:hAnsi="宋体"/>
          <w:b/>
          <w:color w:val="auto"/>
          <w:sz w:val="24"/>
          <w:szCs w:val="24"/>
          <w:highlight w:val="none"/>
        </w:rPr>
        <w:t xml:space="preserve">七</w:t>
      </w:r>
      <w:r>
        <w:rPr>
          <w:rFonts w:ascii="宋体" w:hAnsi="宋体"/>
          <w:b/>
          <w:color w:val="auto"/>
          <w:sz w:val="24"/>
          <w:szCs w:val="24"/>
          <w:highlight w:val="none"/>
        </w:rPr>
        <w:t xml:space="preserve">、出现下列情形之一的，竞争性磋商采购活动终止，发布项目终止公告并说明原因，重新开展采购活动：</w:t>
      </w:r>
      <w:r/>
    </w:p>
    <w:p>
      <w:pPr>
        <w:ind w:firstLine="480"/>
        <w:jc w:val="both"/>
        <w:pageBreakBefore w:val="0"/>
        <w:spacing w:line="360" w:lineRule="auto"/>
        <w:widowControl w:val="off"/>
        <w:rPr>
          <w:rFonts w:ascii="宋体" w:hAnsi="宋体" w:cs="宋体"/>
          <w:color w:val="auto"/>
          <w:sz w:val="24"/>
          <w:szCs w:val="24"/>
          <w:highlight w:val="none"/>
          <w:lang w:val="zh-CN"/>
        </w:rPr>
        <w:outlineLvl w:val="9"/>
      </w:pPr>
      <w:r>
        <w:rPr>
          <w:rFonts w:hint="eastAsia" w:ascii="宋体" w:hAnsi="宋体" w:cs="宋体"/>
          <w:color w:val="auto"/>
          <w:sz w:val="24"/>
          <w:szCs w:val="24"/>
          <w:highlight w:val="none"/>
          <w:lang w:val="zh-CN"/>
        </w:rPr>
        <w:t xml:space="preserve">1、</w:t>
      </w:r>
      <w:r>
        <w:rPr>
          <w:rFonts w:ascii="宋体" w:hAnsi="宋体" w:cs="宋体"/>
          <w:color w:val="auto"/>
          <w:sz w:val="24"/>
          <w:szCs w:val="24"/>
          <w:highlight w:val="none"/>
          <w:lang w:val="zh-CN"/>
        </w:rPr>
        <w:t xml:space="preserve">因情况变化，不再符合规定的竞争性磋商采购方式适用情形的；</w:t>
      </w:r>
      <w:r/>
    </w:p>
    <w:p>
      <w:pPr>
        <w:ind w:firstLine="480"/>
        <w:jc w:val="both"/>
        <w:pageBreakBefore w:val="0"/>
        <w:spacing w:line="360" w:lineRule="auto"/>
        <w:widowControl w:val="off"/>
        <w:rPr>
          <w:rFonts w:ascii="宋体" w:hAnsi="宋体" w:cs="宋体"/>
          <w:color w:val="auto"/>
          <w:sz w:val="24"/>
          <w:szCs w:val="24"/>
          <w:highlight w:val="none"/>
          <w:lang w:val="zh-CN"/>
        </w:rPr>
        <w:outlineLvl w:val="9"/>
      </w:pPr>
      <w:r>
        <w:rPr>
          <w:rFonts w:hint="eastAsia" w:ascii="宋体" w:hAnsi="宋体" w:cs="宋体"/>
          <w:color w:val="auto"/>
          <w:sz w:val="24"/>
          <w:szCs w:val="24"/>
          <w:highlight w:val="none"/>
          <w:lang w:val="zh-CN"/>
        </w:rPr>
        <w:t xml:space="preserve">2、</w:t>
      </w:r>
      <w:r>
        <w:rPr>
          <w:rFonts w:ascii="宋体" w:hAnsi="宋体" w:cs="宋体"/>
          <w:color w:val="auto"/>
          <w:sz w:val="24"/>
          <w:szCs w:val="24"/>
          <w:highlight w:val="none"/>
          <w:lang w:val="zh-CN"/>
        </w:rPr>
        <w:t xml:space="preserve">出现影响采购公正的违法、违规行为的；</w:t>
      </w:r>
      <w:r/>
    </w:p>
    <w:p>
      <w:pPr>
        <w:ind w:firstLine="480"/>
        <w:jc w:val="both"/>
        <w:pageBreakBefore w:val="0"/>
        <w:spacing w:line="360" w:lineRule="auto"/>
        <w:widowControl w:val="off"/>
        <w:rPr>
          <w:rFonts w:hint="eastAsia" w:ascii="宋体" w:hAnsi="宋体" w:cs="宋体"/>
          <w:color w:val="auto"/>
          <w:sz w:val="24"/>
          <w:szCs w:val="24"/>
          <w:highlight w:val="none"/>
          <w:lang w:val="zh-CN"/>
        </w:rPr>
        <w:outlineLvl w:val="9"/>
      </w:pPr>
      <w:r>
        <w:rPr>
          <w:rFonts w:hint="eastAsia" w:ascii="宋体" w:hAnsi="宋体" w:cs="宋体"/>
          <w:color w:val="auto"/>
          <w:sz w:val="24"/>
          <w:szCs w:val="24"/>
          <w:highlight w:val="none"/>
          <w:lang w:val="zh-CN"/>
        </w:rPr>
        <w:t xml:space="preserve">3、 </w:t>
      </w:r>
      <w:r>
        <w:rPr>
          <w:rFonts w:ascii="宋体" w:hAnsi="宋体" w:cs="宋体"/>
          <w:color w:val="auto"/>
          <w:sz w:val="24"/>
          <w:szCs w:val="24"/>
          <w:highlight w:val="none"/>
          <w:lang w:val="zh-CN"/>
        </w:rPr>
        <w:t xml:space="preserve">在采购过程中符合要求的供应商或者报价未超过采购预算的供应商不足3家的（市场竞争不充分的科研项目，以及需要扶持的科技成果转化项目除外）。</w:t>
      </w:r>
      <w:r/>
    </w:p>
    <w:p>
      <w:pPr>
        <w:ind w:firstLine="482"/>
        <w:jc w:val="both"/>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rPr>
        <w:t xml:space="preserve">八、</w:t>
      </w:r>
      <w:r>
        <w:rPr>
          <w:rFonts w:hint="eastAsia" w:ascii="宋体" w:hAnsi="宋体" w:cs="宋体"/>
          <w:b/>
          <w:bCs/>
          <w:color w:val="auto"/>
          <w:sz w:val="24"/>
          <w:szCs w:val="24"/>
          <w:highlight w:val="none"/>
          <w:lang w:val="zh-CN"/>
        </w:rPr>
        <w:t xml:space="preserve">公告成交结果</w:t>
      </w:r>
      <w:r/>
    </w:p>
    <w:p>
      <w:pPr>
        <w:ind w:firstLine="480"/>
        <w:jc w:val="both"/>
        <w:pageBreakBefore w:val="0"/>
        <w:spacing w:line="360" w:lineRule="auto"/>
        <w:widowControl w:val="off"/>
        <w:rPr>
          <w:rFonts w:hint="eastAsia" w:ascii="宋体" w:hAnsi="宋体" w:cs="宋体"/>
          <w:color w:val="auto"/>
          <w:sz w:val="24"/>
          <w:szCs w:val="24"/>
          <w:highlight w:val="none"/>
          <w:lang w:val="zh-CN"/>
        </w:rPr>
        <w:outlineLvl w:val="9"/>
      </w:pPr>
      <w:r>
        <w:rPr>
          <w:rFonts w:hint="eastAsia" w:ascii="宋体" w:hAnsi="宋体" w:cs="宋体"/>
          <w:color w:val="auto"/>
          <w:sz w:val="24"/>
          <w:szCs w:val="24"/>
          <w:highlight w:val="none"/>
          <w:lang w:val="zh-CN"/>
        </w:rPr>
        <w:t xml:space="preserve">自确定成交供应商之日起2个工作日内，在江苏政府采购网公告成交结果，公告期限为1个工作日。</w:t>
      </w:r>
      <w:r/>
    </w:p>
    <w:p>
      <w:pPr>
        <w:ind w:firstLine="482"/>
        <w:jc w:val="both"/>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rPr>
        <w:t xml:space="preserve">九、</w:t>
      </w:r>
      <w:r>
        <w:rPr>
          <w:rFonts w:hint="eastAsia" w:ascii="宋体" w:hAnsi="宋体" w:cs="宋体"/>
          <w:b/>
          <w:bCs/>
          <w:color w:val="auto"/>
          <w:sz w:val="24"/>
          <w:szCs w:val="24"/>
          <w:highlight w:val="none"/>
          <w:lang w:val="zh-CN"/>
        </w:rPr>
        <w:t xml:space="preserve">发放成交通知书</w:t>
      </w:r>
      <w:r/>
    </w:p>
    <w:p>
      <w:pPr>
        <w:ind w:firstLine="480"/>
        <w:jc w:val="both"/>
        <w:pageBreakBefore w:val="0"/>
        <w:spacing w:line="360" w:lineRule="auto"/>
        <w:widowControl w:val="off"/>
        <w:rPr>
          <w:rFonts w:hint="eastAsia" w:ascii="宋体" w:hAnsi="宋体" w:cs="宋体"/>
          <w:color w:val="auto"/>
          <w:sz w:val="24"/>
          <w:szCs w:val="24"/>
          <w:highlight w:val="none"/>
          <w:lang w:val="zh-CN"/>
        </w:rPr>
        <w:outlineLvl w:val="9"/>
      </w:pPr>
      <w:r>
        <w:rPr>
          <w:rFonts w:hint="eastAsia" w:ascii="宋体" w:hAnsi="宋体" w:cs="宋体"/>
          <w:color w:val="auto"/>
          <w:sz w:val="24"/>
          <w:szCs w:val="24"/>
          <w:highlight w:val="none"/>
          <w:lang w:val="zh-CN"/>
        </w:rPr>
        <w:t xml:space="preserve">公告成交结果的同时，交易中心向成交供应商发放成交通知书。</w:t>
      </w:r>
      <w:r/>
    </w:p>
    <w:p>
      <w:pPr>
        <w:ind w:firstLine="480"/>
        <w:jc w:val="both"/>
        <w:pageBreakBefore w:val="0"/>
        <w:spacing w:line="360" w:lineRule="auto"/>
        <w:widowControl w:val="off"/>
        <w:rPr>
          <w:rFonts w:hint="eastAsia" w:ascii="宋体" w:hAnsi="宋体" w:cs="宋体"/>
          <w:b/>
          <w:bCs/>
          <w:color w:val="auto"/>
          <w:sz w:val="24"/>
          <w:highlight w:val="none"/>
          <w:lang w:val="zh-CN"/>
        </w:rPr>
        <w:outlineLvl w:val="9"/>
      </w:pPr>
      <w:r>
        <w:rPr>
          <w:rFonts w:hint="eastAsia" w:ascii="宋体" w:hAnsi="宋体" w:cs="宋体"/>
          <w:color w:val="auto"/>
          <w:sz w:val="24"/>
          <w:szCs w:val="24"/>
          <w:highlight w:val="none"/>
          <w:lang w:val="zh-CN"/>
        </w:rPr>
        <w:t xml:space="preserve">成交通知书发出后，采购人不得违法改变成交结果，成交供应商无正当理由不得放弃成交。</w:t>
      </w:r>
      <w:r>
        <w:rPr>
          <w:rFonts w:hint="eastAsia" w:ascii="宋体" w:hAnsi="宋体" w:cs="宋体"/>
          <w:b/>
          <w:bCs/>
          <w:color w:val="auto"/>
          <w:sz w:val="24"/>
          <w:szCs w:val="24"/>
          <w:highlight w:val="none"/>
          <w:lang w:val="zh-CN"/>
        </w:rPr>
        <w:t xml:space="preserve">成交供应商领取成交通知书时须提供</w:t>
      </w:r>
      <w:r>
        <w:rPr>
          <w:rFonts w:hint="eastAsia" w:ascii="宋体" w:hAnsi="宋体" w:cs="宋体"/>
          <w:b/>
          <w:bCs/>
          <w:color w:val="auto"/>
          <w:sz w:val="24"/>
          <w:szCs w:val="24"/>
          <w:highlight w:val="none"/>
          <w:lang w:val="en-US" w:eastAsia="zh-CN"/>
        </w:rPr>
        <w:t xml:space="preserve">肆份</w:t>
      </w:r>
      <w:r>
        <w:rPr>
          <w:rFonts w:hint="eastAsia" w:ascii="宋体" w:hAnsi="宋体" w:cs="宋体"/>
          <w:b/>
          <w:bCs/>
          <w:color w:val="auto"/>
          <w:sz w:val="24"/>
          <w:szCs w:val="24"/>
          <w:highlight w:val="none"/>
          <w:lang w:val="zh-CN"/>
        </w:rPr>
        <w:t xml:space="preserve">纸质版响应文件及壹份响应文件电子扫描件至代理机构处。</w:t>
      </w:r>
      <w:bookmarkEnd w:id="185"/>
      <w:r/>
      <w:bookmarkEnd w:id="186"/>
      <w:r/>
      <w:bookmarkEnd w:id="190"/>
      <w:r/>
      <w:r/>
    </w:p>
    <w:p>
      <w:pPr>
        <w:ind w:firstLine="570"/>
        <w:spacing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ind w:firstLine="570"/>
        <w:spacing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rPr>
          <w:rFonts w:hint="eastAsia" w:ascii="黑体" w:hAnsi="Times New Roman" w:eastAsia="黑体"/>
          <w:b/>
          <w:bCs/>
          <w:color w:val="auto"/>
          <w:sz w:val="44"/>
          <w:szCs w:val="28"/>
          <w:highlight w:val="none"/>
        </w:rPr>
      </w:pPr>
      <w:r>
        <w:rPr>
          <w:rFonts w:hint="eastAsia" w:ascii="黑体" w:hAnsi="Times New Roman" w:eastAsia="黑体"/>
          <w:b/>
          <w:bCs/>
          <w:color w:val="auto"/>
          <w:sz w:val="44"/>
          <w:szCs w:val="28"/>
          <w:highlight w:val="none"/>
        </w:rPr>
        <w:br w:type="page" w:clear="all"/>
      </w:r>
      <w:r/>
    </w:p>
    <w:p>
      <w:pPr>
        <w:jc w:val="center"/>
        <w:keepNext/>
        <w:spacing w:line="360" w:lineRule="auto"/>
        <w:rPr>
          <w:rFonts w:ascii="黑体" w:hAnsi="Times New Roman" w:eastAsia="黑体"/>
          <w:b/>
          <w:bCs/>
          <w:color w:val="auto"/>
          <w:sz w:val="44"/>
          <w:szCs w:val="28"/>
          <w:highlight w:val="none"/>
        </w:rPr>
        <w:outlineLvl w:val="0"/>
      </w:pPr>
      <w:r>
        <w:rPr>
          <w:rFonts w:hint="eastAsia" w:ascii="黑体" w:hAnsi="Times New Roman" w:eastAsia="黑体"/>
          <w:b/>
          <w:bCs/>
          <w:color w:val="auto"/>
          <w:sz w:val="44"/>
          <w:szCs w:val="28"/>
          <w:highlight w:val="none"/>
        </w:rPr>
        <w:t xml:space="preserve">第六章    响应文件格式</w:t>
      </w:r>
      <w:r/>
    </w:p>
    <w:p>
      <w:pPr>
        <w:jc w:val="center"/>
        <w:keepNext/>
        <w:spacing w:line="360" w:lineRule="auto"/>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r>
      <w:r/>
    </w:p>
    <w:p>
      <w:pPr>
        <w:jc w:val="center"/>
        <w:keepNext/>
        <w:spacing w:line="360" w:lineRule="auto"/>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r>
      <w:r/>
    </w:p>
    <w:p>
      <w:pPr>
        <w:jc w:val="center"/>
        <w:keepNext/>
        <w:spacing w:line="360" w:lineRule="auto"/>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r>
      <w:r/>
    </w:p>
    <w:p>
      <w:pPr>
        <w:jc w:val="center"/>
        <w:keepNext/>
        <w:spacing w:line="360" w:lineRule="auto"/>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r>
      <w:r/>
    </w:p>
    <w:p>
      <w:pPr>
        <w:jc w:val="center"/>
        <w:keepNext/>
        <w:spacing w:line="360" w:lineRule="auto"/>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b/>
          <w:color w:val="auto"/>
          <w:sz w:val="36"/>
          <w:szCs w:val="21"/>
          <w:highlight w:val="none"/>
          <w:u w:val="single"/>
        </w:rPr>
        <w:br w:type="page" w:clear="all"/>
      </w:r>
      <w:bookmarkStart w:id="195" w:name="_Hlt26671244"/>
      <w:r/>
      <w:bookmarkEnd w:id="195"/>
      <w:r/>
      <w:bookmarkStart w:id="196" w:name="_Hlt26955039"/>
      <w:r/>
      <w:bookmarkEnd w:id="196"/>
      <w:r/>
      <w:bookmarkStart w:id="197" w:name="_Toc49090576"/>
      <w:r/>
      <w:bookmarkStart w:id="198" w:name="_Toc26554094"/>
      <w:r/>
      <w:bookmarkStart w:id="199" w:name="_Toc120614282"/>
      <w:r>
        <w:rPr>
          <w:rFonts w:ascii="宋体" w:hAnsi="宋体" w:cs="宋体"/>
          <w:b/>
          <w:color w:val="auto"/>
          <w:sz w:val="32"/>
          <w:highlight w:val="none"/>
        </w:rPr>
        <w:t xml:space="preserve">响应文件目录</w:t>
      </w:r>
      <w:r/>
    </w:p>
    <w:p>
      <w:pPr>
        <w:ind w:firstLine="480"/>
        <w:spacing w:line="360" w:lineRule="auto"/>
        <w:rPr>
          <w:rFonts w:ascii="宋体" w:hAnsi="宋体" w:cs="宋体"/>
          <w:color w:val="auto"/>
          <w:sz w:val="24"/>
          <w:szCs w:val="24"/>
          <w:highlight w:val="none"/>
        </w:rPr>
      </w:pPr>
      <w:r/>
      <w:bookmarkStart w:id="200" w:name="_Hlk167855685"/>
      <w:r>
        <w:rPr>
          <w:rFonts w:hint="eastAsia" w:ascii="宋体" w:hAnsi="宋体" w:cs="宋体"/>
          <w:color w:val="auto"/>
          <w:sz w:val="24"/>
          <w:szCs w:val="24"/>
          <w:highlight w:val="none"/>
        </w:rPr>
        <w:t xml:space="preserve">1、开标一览表（格式见附件）</w:t>
      </w:r>
      <w:r/>
    </w:p>
    <w:p>
      <w:pPr>
        <w:ind w:firstLine="48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一、资格审查材料</w:t>
      </w:r>
      <w:r/>
    </w:p>
    <w:p>
      <w:pPr>
        <w:ind w:firstLine="480"/>
        <w:spacing w:line="360" w:lineRule="auto"/>
        <w:rPr>
          <w:rFonts w:hint="eastAsia" w:ascii="宋体" w:hAnsi="宋体" w:cs="宋体"/>
          <w:bCs/>
          <w:color w:val="auto"/>
          <w:sz w:val="24"/>
          <w:szCs w:val="24"/>
          <w:highlight w:val="none"/>
        </w:rPr>
      </w:pPr>
      <w:r/>
      <w:bookmarkStart w:id="201" w:name="_Hlk161176407"/>
      <w:r>
        <w:rPr>
          <w:rFonts w:hint="eastAsia" w:ascii="宋体" w:hAnsi="宋体" w:cs="宋体"/>
          <w:bCs/>
          <w:color w:val="auto"/>
          <w:sz w:val="24"/>
          <w:szCs w:val="24"/>
          <w:highlight w:val="none"/>
        </w:rPr>
        <w:t xml:space="preserve">1.1、</w:t>
      </w:r>
      <w:r>
        <w:rPr>
          <w:rFonts w:hint="eastAsia" w:ascii="宋体" w:hAnsi="宋体" w:cs="宋体"/>
          <w:color w:val="auto"/>
          <w:sz w:val="24"/>
          <w:szCs w:val="24"/>
          <w:highlight w:val="none"/>
        </w:rPr>
        <w:t xml:space="preserve">供应商符合《政府采购法》</w:t>
      </w:r>
      <w:r>
        <w:rPr>
          <w:rFonts w:hint="eastAsia" w:ascii="宋体" w:hAnsi="宋体" w:cs="宋体"/>
          <w:color w:val="auto"/>
          <w:sz w:val="24"/>
          <w:szCs w:val="24"/>
          <w:highlight w:val="none"/>
          <w:lang w:eastAsia="zh-CN"/>
        </w:rPr>
        <w:t xml:space="preserve">第二十二条规定条件的承诺函</w:t>
      </w:r>
      <w:r>
        <w:rPr>
          <w:rFonts w:hint="eastAsia" w:ascii="宋体" w:hAnsi="宋体" w:cs="宋体"/>
          <w:color w:val="auto"/>
          <w:sz w:val="24"/>
          <w:szCs w:val="24"/>
          <w:highlight w:val="none"/>
        </w:rPr>
        <w:t xml:space="preserve">；（格式见附件）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1.2、法定代表人身份证明书；法定代表人授权书（如有授权）；（格式见附件）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1.3、法人或者其他组织的营业执照等证明文件；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1.4、企业资质证书及安全生产许可证复印件或扫描件；（</w:t>
      </w:r>
      <w:r>
        <w:rPr>
          <w:rFonts w:hint="eastAsia" w:ascii="宋体" w:hAnsi="宋体" w:cs="宋体"/>
          <w:bCs/>
          <w:color w:val="auto"/>
          <w:sz w:val="24"/>
          <w:szCs w:val="24"/>
          <w:highlight w:val="none"/>
          <w:lang w:val="en-US" w:eastAsia="zh-CN" w:bidi="ar"/>
        </w:rPr>
        <w:t xml:space="preserve">环保工程专业承包二级及以上资质</w:t>
      </w:r>
      <w:r>
        <w:rPr>
          <w:rFonts w:hint="eastAsia" w:ascii="宋体" w:hAnsi="宋体" w:cs="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、供应商须能够在20分钟内到达现场；（可提供包含但不限于定位、导航等，目的地为五接镇人民政府）</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1.6、</w:t>
      </w:r>
      <w:r>
        <w:rPr>
          <w:rFonts w:hint="eastAsia" w:ascii="宋体" w:hAnsi="宋体" w:cs="宋体"/>
          <w:bCs/>
          <w:color w:val="auto"/>
          <w:sz w:val="24"/>
          <w:szCs w:val="24"/>
          <w:highlight w:val="none"/>
        </w:rPr>
        <w:t xml:space="preserve">磋商供应商成交后需在项目所在镇区设有办事地点和负压设备耗材仓库，且拟投入人员满足采购需求中的最低标准。（提供拟派项目组成人员一览表（格式见附件）、中标后在项目所在镇区设有办事地点和负压设备耗材仓库的承诺（格式自拟））</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1.7、</w:t>
      </w:r>
      <w:r>
        <w:rPr>
          <w:rFonts w:hint="eastAsia" w:ascii="宋体" w:hAnsi="宋体" w:cs="宋体"/>
          <w:bCs/>
          <w:color w:val="auto"/>
          <w:sz w:val="24"/>
          <w:szCs w:val="24"/>
          <w:highlight w:val="none"/>
          <w:lang w:val="zh-CN"/>
        </w:rPr>
        <w:t xml:space="preserve">其他证明材料（本项目专门面向中小企业采购）（格式见附件）</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（1）中小企业声明函；</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（2）监狱企业证明函（如符合监狱企业的需提供）；</w:t>
      </w:r>
      <w:r/>
    </w:p>
    <w:p>
      <w:pPr>
        <w:ind w:firstLine="480"/>
        <w:spacing w:line="360" w:lineRule="auto"/>
        <w:widowControl/>
        <w:tabs>
          <w:tab w:val="left" w:pos="0" w:leader="none"/>
          <w:tab w:val="left" w:pos="993" w:leader="none"/>
          <w:tab w:val="left" w:pos="1134"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（3）残疾人福利性单位声明函（如符合残疾人福利性单位的需提供）；</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、供应商认为其他必要的材料。</w:t>
      </w:r>
      <w:bookmarkEnd w:id="200"/>
      <w:r/>
      <w:bookmarkEnd w:id="201"/>
      <w:r/>
      <w:r/>
    </w:p>
    <w:p>
      <w:pPr>
        <w:ind w:firstLine="480"/>
        <w:spacing w:line="360" w:lineRule="auto"/>
        <w:rPr>
          <w:rFonts w:hint="eastAsia" w:ascii="宋体" w:hAnsi="宋体" w:cs="宋体"/>
          <w:bCs/>
          <w:color w:val="auto"/>
          <w:sz w:val="24"/>
          <w:highlight w:val="none"/>
          <w:lang w:val="zh-CN"/>
        </w:rPr>
      </w:pPr>
      <w:r/>
      <w:bookmarkStart w:id="202" w:name="_Hlk161176652"/>
      <w:r>
        <w:rPr>
          <w:rFonts w:hint="eastAsia" w:ascii="宋体" w:hAnsi="宋体" w:cs="宋体"/>
          <w:bCs/>
          <w:color w:val="auto"/>
          <w:sz w:val="24"/>
          <w:highlight w:val="none"/>
          <w:lang w:val="zh-CN"/>
        </w:rPr>
        <w:t xml:space="preserve">二、符合性条件材料</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投标函；（格式见附件）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2.2、投标分项报价表</w:t>
      </w:r>
      <w:r>
        <w:rPr>
          <w:rFonts w:hint="eastAsia" w:ascii="宋体" w:hAnsi="宋体" w:cs="宋体"/>
          <w:bCs/>
          <w:color w:val="auto"/>
          <w:sz w:val="24"/>
          <w:szCs w:val="24"/>
          <w:highlight w:val="none"/>
        </w:rPr>
        <w:t xml:space="preserve">；（格式见附件）</w:t>
      </w:r>
      <w:r/>
    </w:p>
    <w:p>
      <w:pPr>
        <w:ind w:firstLine="48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2.3、技术要求响应及偏离表；（格式见附件）</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2.4、商务要求响应及偏离表；（格式见附件）</w:t>
      </w:r>
      <w:r/>
    </w:p>
    <w:p>
      <w:pPr>
        <w:ind w:firstLine="48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三、商务技术文件材料</w:t>
      </w:r>
      <w:r/>
    </w:p>
    <w:p>
      <w:pPr>
        <w:ind w:firstLine="48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3.1、</w:t>
      </w:r>
      <w:r>
        <w:rPr>
          <w:rFonts w:hint="eastAsia" w:ascii="宋体" w:hAnsi="宋体" w:cs="宋体"/>
          <w:bCs/>
          <w:color w:val="auto"/>
          <w:sz w:val="24"/>
          <w:highlight w:val="none"/>
          <w:lang w:val="zh-CN"/>
        </w:rPr>
        <w:t xml:space="preserve">商务技术评分标准中须提供的相关得分佐证材料；</w:t>
      </w:r>
      <w:r/>
    </w:p>
    <w:p>
      <w:pPr>
        <w:ind w:firstLine="48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3.2</w:t>
      </w:r>
      <w:r>
        <w:rPr>
          <w:rFonts w:hint="eastAsia" w:ascii="宋体" w:hAnsi="宋体" w:cs="宋体"/>
          <w:bCs/>
          <w:color w:val="auto"/>
          <w:sz w:val="24"/>
          <w:highlight w:val="none"/>
          <w:lang w:val="zh-CN"/>
        </w:rPr>
        <w:t xml:space="preserve">、供应商认为需要提交的其他商务技术材料。</w:t>
      </w:r>
      <w:bookmarkEnd w:id="202"/>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t xml:space="preserve"> </w:t>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r>
      <w:bookmarkEnd w:id="183"/>
      <w:r/>
      <w:bookmarkEnd w:id="184"/>
      <w:r/>
      <w:bookmarkEnd w:id="197"/>
      <w:r/>
      <w:bookmarkEnd w:id="198"/>
      <w:r/>
      <w:bookmarkEnd w:id="199"/>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r>
      <w:r/>
    </w:p>
    <w:p>
      <w:pPr>
        <w:rPr>
          <w:rFonts w:hint="eastAsia" w:ascii="宋体" w:hAnsi="宋体"/>
          <w:b/>
          <w:bCs/>
          <w:color w:val="auto"/>
          <w:sz w:val="24"/>
          <w:szCs w:val="21"/>
          <w:highlight w:val="none"/>
        </w:rPr>
      </w:pPr>
      <w:r>
        <w:rPr>
          <w:rFonts w:hint="eastAsia" w:ascii="宋体" w:hAnsi="宋体"/>
          <w:b/>
          <w:bCs/>
          <w:color w:val="auto"/>
          <w:sz w:val="24"/>
          <w:szCs w:val="21"/>
          <w:highlight w:val="none"/>
        </w:rPr>
        <w:br w:type="page" w:clear="all"/>
      </w:r>
      <w:r/>
    </w:p>
    <w:p>
      <w:pPr>
        <w:spacing w:line="360" w:lineRule="auto"/>
        <w:rPr>
          <w:rFonts w:hint="eastAsia" w:ascii="宋体" w:hAnsi="宋体"/>
          <w:b/>
          <w:bCs/>
          <w:color w:val="auto"/>
          <w:sz w:val="24"/>
          <w:szCs w:val="21"/>
          <w:highlight w:val="none"/>
        </w:rPr>
      </w:pPr>
      <w:r>
        <w:rPr>
          <w:rFonts w:hint="eastAsia" w:ascii="宋体" w:hAnsi="宋体"/>
          <w:b/>
          <w:bCs/>
          <w:color w:val="auto"/>
          <w:sz w:val="24"/>
          <w:szCs w:val="21"/>
          <w:highlight w:val="none"/>
        </w:rPr>
        <w:t xml:space="preserve">格式附件如下：</w:t>
      </w:r>
      <w:r/>
    </w:p>
    <w:p>
      <w:pPr>
        <w:jc w:val="center"/>
        <w:keepLines/>
        <w:keepNext/>
        <w:spacing w:before="260" w:after="260" w:line="360" w:lineRule="auto"/>
        <w:rPr>
          <w:rFonts w:hint="eastAsia" w:ascii="宋体" w:hAnsi="宋体"/>
          <w:b/>
          <w:color w:val="auto"/>
          <w:sz w:val="30"/>
          <w:szCs w:val="30"/>
          <w:highlight w:val="none"/>
        </w:rPr>
        <w:outlineLvl w:val="1"/>
      </w:pPr>
      <w:r>
        <w:rPr>
          <w:rFonts w:hint="eastAsia" w:ascii="宋体" w:hAnsi="宋体"/>
          <w:b/>
          <w:color w:val="auto"/>
          <w:sz w:val="30"/>
          <w:szCs w:val="30"/>
          <w:highlight w:val="none"/>
        </w:rPr>
        <w:t xml:space="preserve">开标一览表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全称（加盖CA电子签章）：</w:t>
      </w:r>
      <w:r/>
    </w:p>
    <w:p>
      <w:pPr>
        <w:ind w:firstLine="480"/>
        <w:spacing w:line="360" w:lineRule="auto"/>
        <w:rPr>
          <w:rFonts w:ascii="Times New Roman" w:hAnsi="Times New Roman"/>
          <w:color w:val="auto"/>
          <w:sz w:val="24"/>
          <w:szCs w:val="24"/>
          <w:highlight w:val="none"/>
        </w:rPr>
      </w:pPr>
      <w:r>
        <w:rPr>
          <w:rFonts w:hint="eastAsia" w:ascii="宋体" w:hAnsi="宋体"/>
          <w:color w:val="auto"/>
          <w:sz w:val="24"/>
          <w:szCs w:val="24"/>
          <w:highlight w:val="none"/>
        </w:rPr>
        <w:t xml:space="preserve">项目名称：</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p>
    <w:tbl>
      <w:tblPr>
        <w:tblStyle w:val="6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jc w:val="center"/>
          <w:trHeight w:val="725"/>
        </w:trPr>
        <w:tc>
          <w:tcPr>
            <w:tcW w:w="888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投标总报价</w:t>
            </w:r>
            <w:r/>
          </w:p>
        </w:tc>
      </w:tr>
      <w:tr>
        <w:trPr>
          <w:cantSplit/>
          <w:jc w:val="center"/>
          <w:trHeight w:val="612"/>
        </w:trPr>
        <w:tc>
          <w:tcPr>
            <w:tcW w:w="888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color w:val="auto"/>
                <w:sz w:val="24"/>
                <w:szCs w:val="21"/>
                <w:highlight w:val="none"/>
              </w:rPr>
              <w:suppressLineNumbers w:val="0"/>
            </w:pPr>
            <w:r>
              <w:rPr>
                <w:rFonts w:hint="eastAsia" w:ascii="宋体" w:hAnsi="宋体" w:cs="宋体"/>
                <w:color w:val="auto"/>
                <w:sz w:val="24"/>
                <w:szCs w:val="24"/>
                <w:highlight w:val="none"/>
                <w:lang w:val="en-US" w:eastAsia="zh-CN"/>
              </w:rPr>
              <w:t xml:space="preserve">大</w:t>
            </w:r>
            <w:r>
              <w:rPr>
                <w:rFonts w:hint="eastAsia" w:ascii="宋体" w:hAnsi="宋体" w:cs="宋体"/>
                <w:color w:val="auto"/>
                <w:sz w:val="24"/>
                <w:szCs w:val="24"/>
                <w:highlight w:val="none"/>
              </w:rPr>
              <w:t xml:space="preserve">写：                             </w:t>
            </w:r>
            <w:r>
              <w:rPr>
                <w:rFonts w:hint="eastAsia" w:ascii="宋体" w:hAnsi="宋体" w:cs="宋体"/>
                <w:color w:val="auto"/>
                <w:highlight w:val="none"/>
              </w:rPr>
              <w:t xml:space="preserve">  （</w:t>
            </w:r>
            <w:r>
              <w:rPr>
                <w:rFonts w:hint="eastAsia" w:ascii="宋体" w:hAnsi="宋体" w:cs="宋体"/>
                <w:color w:val="auto"/>
                <w:sz w:val="24"/>
                <w:szCs w:val="24"/>
                <w:highlight w:val="none"/>
              </w:rPr>
              <w:t xml:space="preserve">人民币：元</w:t>
            </w:r>
            <w:r>
              <w:rPr>
                <w:rFonts w:hint="eastAsia" w:ascii="宋体" w:hAnsi="宋体" w:cs="宋体"/>
                <w:color w:val="auto"/>
                <w:highlight w:val="none"/>
              </w:rPr>
              <w:t xml:space="preserve">）</w:t>
            </w:r>
            <w:r/>
          </w:p>
        </w:tc>
      </w:tr>
      <w:tr>
        <w:trPr>
          <w:cantSplit/>
          <w:jc w:val="center"/>
          <w:trHeight w:val="612"/>
        </w:trPr>
        <w:tc>
          <w:tcPr>
            <w:tcW w:w="888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小写：                             </w:t>
            </w:r>
            <w:r>
              <w:rPr>
                <w:rFonts w:hint="eastAsia" w:ascii="宋体" w:hAnsi="宋体" w:cs="宋体"/>
                <w:color w:val="auto"/>
                <w:highlight w:val="none"/>
              </w:rPr>
              <w:t xml:space="preserve">  （</w:t>
            </w:r>
            <w:r>
              <w:rPr>
                <w:rFonts w:hint="eastAsia" w:ascii="宋体" w:hAnsi="宋体" w:cs="宋体"/>
                <w:color w:val="auto"/>
                <w:sz w:val="24"/>
                <w:szCs w:val="24"/>
                <w:highlight w:val="none"/>
              </w:rPr>
              <w:t xml:space="preserve">人民币：元</w:t>
            </w:r>
            <w:r>
              <w:rPr>
                <w:rFonts w:hint="eastAsia" w:ascii="宋体" w:hAnsi="宋体" w:cs="宋体"/>
                <w:color w:val="auto"/>
                <w:highlight w:val="none"/>
              </w:rPr>
              <w:t xml:space="preserve">）</w:t>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rPr>
          <w:rFonts w:hint="eastAsia" w:ascii="宋体" w:hAnsi="宋体"/>
          <w:b/>
          <w:color w:val="auto"/>
          <w:sz w:val="30"/>
          <w:szCs w:val="30"/>
          <w:highlight w:val="none"/>
        </w:rPr>
      </w:pPr>
      <w:r>
        <w:rPr>
          <w:rFonts w:hint="eastAsia" w:ascii="宋体" w:hAnsi="宋体"/>
          <w:b/>
          <w:color w:val="auto"/>
          <w:sz w:val="30"/>
          <w:szCs w:val="30"/>
          <w:highlight w:val="none"/>
        </w:rPr>
        <w:br w:type="page" w:clear="all"/>
      </w:r>
      <w:r/>
    </w:p>
    <w:p>
      <w:pPr>
        <w:jc w:val="center"/>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lang w:eastAsia="zh-CN"/>
        </w:rPr>
        <w:t xml:space="preserve">供应商</w:t>
      </w:r>
      <w:r>
        <w:rPr>
          <w:rFonts w:hint="eastAsia" w:ascii="宋体" w:hAnsi="宋体"/>
          <w:b/>
          <w:color w:val="auto"/>
          <w:sz w:val="30"/>
          <w:szCs w:val="30"/>
          <w:highlight w:val="none"/>
        </w:rPr>
        <w:t xml:space="preserve">符合《政府采购法》</w:t>
      </w:r>
      <w:r>
        <w:rPr>
          <w:rFonts w:hint="eastAsia" w:ascii="宋体" w:hAnsi="宋体"/>
          <w:b/>
          <w:color w:val="auto"/>
          <w:sz w:val="30"/>
          <w:szCs w:val="30"/>
          <w:highlight w:val="none"/>
          <w:lang w:eastAsia="zh-CN"/>
        </w:rPr>
        <w:t xml:space="preserve">第二十二条规定条件的承诺函</w:t>
      </w:r>
      <w:r/>
    </w:p>
    <w:p>
      <w:pPr>
        <w:spacing w:line="36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360" w:lineRule="auto"/>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（项目编号）投标活动。针对《中华人民共和国政府采购法》第二十二条规定做出如下</w:t>
      </w:r>
      <w:r>
        <w:rPr>
          <w:rFonts w:hint="eastAsia" w:ascii="宋体" w:hAnsi="宋体"/>
          <w:bCs/>
          <w:color w:val="auto"/>
          <w:sz w:val="24"/>
          <w:szCs w:val="21"/>
          <w:highlight w:val="none"/>
          <w:lang w:val="en-US" w:eastAsia="zh-CN"/>
        </w:rPr>
        <w:t xml:space="preserve">承诺</w:t>
      </w:r>
      <w:r>
        <w:rPr>
          <w:rFonts w:hint="eastAsia" w:ascii="宋体" w:hAnsi="宋体"/>
          <w:bCs/>
          <w:color w:val="auto"/>
          <w:sz w:val="24"/>
          <w:szCs w:val="21"/>
          <w:highlight w:val="none"/>
        </w:rPr>
        <w:t xml:space="preserve">：</w:t>
      </w:r>
      <w:r/>
    </w:p>
    <w:p>
      <w:pPr>
        <w:ind w:firstLine="482"/>
        <w:spacing w:line="360" w:lineRule="auto"/>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spacing w:line="360" w:lineRule="auto"/>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br w:type="page" w:clear="all"/>
      </w:r>
      <w:r/>
    </w:p>
    <w:p>
      <w:pPr>
        <w:jc w:val="center"/>
        <w:spacing w:line="360" w:lineRule="auto"/>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法定代表人身份证明书</w:t>
      </w:r>
      <w:r/>
    </w:p>
    <w:p>
      <w:pPr>
        <w:jc w:val="center"/>
        <w:spacing w:line="560" w:lineRule="exact"/>
        <w:rPr>
          <w:rFonts w:ascii="宋体" w:hAnsi="宋体"/>
          <w:bCs/>
          <w:color w:val="auto"/>
          <w:sz w:val="44"/>
          <w:szCs w:val="24"/>
          <w:highlight w:val="none"/>
        </w:rPr>
      </w:pPr>
      <w:r>
        <w:rPr>
          <w:rFonts w:ascii="宋体" w:hAnsi="宋体"/>
          <w:bCs/>
          <w:color w:val="auto"/>
          <w:sz w:val="44"/>
          <w:szCs w:val="24"/>
          <w:highlight w:val="none"/>
        </w:rPr>
      </w:r>
      <w:r/>
    </w:p>
    <w:p>
      <w:pPr>
        <w:ind w:firstLine="560"/>
        <w:spacing w:line="560" w:lineRule="exact"/>
        <w:rPr>
          <w:rFonts w:ascii="宋体" w:hAnsi="宋体"/>
          <w:color w:val="auto"/>
          <w:sz w:val="28"/>
          <w:szCs w:val="28"/>
          <w:highlight w:val="none"/>
        </w:rPr>
      </w:pPr>
      <w:r>
        <w:rPr>
          <w:rFonts w:ascii="宋体" w:hAnsi="宋体"/>
          <w:color w:val="auto"/>
          <w:sz w:val="28"/>
          <w:szCs w:val="28"/>
          <w:highlight w:val="none"/>
        </w:rPr>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u w:val="single"/>
        </w:rPr>
        <w:t xml:space="preserve">（法定代表人姓名）</w:t>
      </w:r>
      <w:r>
        <w:rPr>
          <w:rFonts w:hint="eastAsia" w:ascii="宋体" w:hAnsi="宋体"/>
          <w:color w:val="auto"/>
          <w:sz w:val="24"/>
          <w:szCs w:val="24"/>
          <w:highlight w:val="none"/>
        </w:rPr>
        <w:t xml:space="preserve">系</w:t>
      </w:r>
      <w:r>
        <w:rPr>
          <w:rFonts w:hint="eastAsia" w:ascii="宋体" w:hAnsi="宋体"/>
          <w:color w:val="auto"/>
          <w:sz w:val="24"/>
          <w:szCs w:val="24"/>
          <w:highlight w:val="none"/>
          <w:u w:val="single"/>
        </w:rPr>
        <w:t xml:space="preserve">（磋商响应人全称）</w:t>
      </w:r>
      <w:r>
        <w:rPr>
          <w:rFonts w:hint="eastAsia" w:ascii="宋体" w:hAnsi="宋体"/>
          <w:color w:val="auto"/>
          <w:sz w:val="24"/>
          <w:szCs w:val="24"/>
          <w:highlight w:val="none"/>
        </w:rPr>
        <w:t xml:space="preserve">的法定代表人。</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spacing w:line="560" w:lineRule="exact"/>
        <w:rPr>
          <w:rFonts w:ascii="宋体" w:hAnsi="宋体"/>
          <w:color w:val="auto"/>
          <w:sz w:val="24"/>
          <w:szCs w:val="24"/>
          <w:highlight w:val="none"/>
        </w:rPr>
      </w:pP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349885</wp:posOffset>
                </wp:positionH>
                <wp:positionV relativeFrom="paragraph">
                  <wp:posOffset>71755</wp:posOffset>
                </wp:positionV>
                <wp:extent cx="2240915" cy="1125855"/>
                <wp:effectExtent l="0" t="0" r="0" b="0"/>
                <wp:wrapNone/>
                <wp:docPr id="10" name="文本框 3"/>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wps:txbx>
                      <wps:bodyPr wrap="square" anchor="ctr" upright="1"/>
                    </wps:wsp>
                  </a:graphicData>
                </a:graphic>
              </wp:anchor>
            </w:drawing>
          </mc:Choice>
          <mc:Fallback>
            <w:pict>
              <v:shape id="shape 9" o:spid="_x0000_s9" o:spt="202" type="#_x0000_t202" style="position:absolute;z-index:251659264;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2895600</wp:posOffset>
                </wp:positionH>
                <wp:positionV relativeFrom="paragraph">
                  <wp:posOffset>63500</wp:posOffset>
                </wp:positionV>
                <wp:extent cx="2240915" cy="1125855"/>
                <wp:effectExtent l="0" t="0" r="0" b="0"/>
                <wp:wrapNone/>
                <wp:docPr id="11" name="文本框 4"/>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wps:txbx>
                      <wps:bodyPr wrap="square" anchor="ctr" upright="1"/>
                    </wps:wsp>
                  </a:graphicData>
                </a:graphic>
              </wp:anchor>
            </w:drawing>
          </mc:Choice>
          <mc:Fallback>
            <w:pict>
              <v:shape id="shape 10" o:spid="_x0000_s10" o:spt="202" type="#_x0000_t202" style="position:absolute;z-index:251659264;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磋商响应人全称：（盖章）</w:t>
      </w:r>
      <w:r/>
    </w:p>
    <w:p>
      <w:pPr>
        <w:jc w:val="right"/>
        <w:spacing w:line="560" w:lineRule="exact"/>
        <w:rPr>
          <w:rFonts w:ascii="宋体" w:hAnsi="宋体"/>
          <w:color w:val="auto"/>
          <w:sz w:val="24"/>
          <w:szCs w:val="24"/>
          <w:highlight w:val="none"/>
        </w:rPr>
      </w:pPr>
      <w:r>
        <w:rPr>
          <w:rFonts w:ascii="宋体" w:hAnsi="宋体"/>
          <w:color w:val="auto"/>
          <w:sz w:val="24"/>
          <w:szCs w:val="24"/>
          <w:highlight w:val="none"/>
        </w:rPr>
      </w:r>
      <w:r/>
    </w:p>
    <w:p>
      <w:pPr>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年  月  日</w:t>
      </w:r>
      <w:r/>
    </w:p>
    <w:p>
      <w:pPr>
        <w:spacing w:line="360" w:lineRule="auto"/>
        <w:rPr>
          <w:color w:val="auto"/>
          <w:highlight w:val="none"/>
        </w:rPr>
      </w:pPr>
      <w:r>
        <w:rPr>
          <w:color w:val="auto"/>
          <w:highlight w:val="none"/>
        </w:rPr>
      </w:r>
      <w:r/>
    </w:p>
    <w:p>
      <w:pP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br w:type="page" w:clear="all"/>
      </w:r>
      <w:r/>
    </w:p>
    <w:p>
      <w:pPr>
        <w:jc w:val="center"/>
        <w:spacing w:line="360" w:lineRule="auto"/>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法定代表人授权书（如有授权）</w:t>
      </w:r>
      <w:r/>
    </w:p>
    <w:p>
      <w:pPr>
        <w:spacing w:line="560" w:lineRule="exact"/>
        <w:rPr>
          <w:rFonts w:ascii="宋体" w:hAnsi="宋体"/>
          <w:color w:val="auto"/>
          <w:sz w:val="28"/>
          <w:szCs w:val="28"/>
          <w:highlight w:val="none"/>
        </w:rPr>
      </w:pPr>
      <w:r>
        <w:rPr>
          <w:rFonts w:ascii="宋体" w:hAnsi="宋体"/>
          <w:color w:val="auto"/>
          <w:sz w:val="28"/>
          <w:szCs w:val="28"/>
          <w:highlight w:val="none"/>
        </w:rPr>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u w:val="single"/>
        </w:rPr>
        <w:t xml:space="preserve">（采购人）</w:t>
      </w: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w:t>
      </w:r>
      <w:r>
        <w:rPr>
          <w:rFonts w:hint="eastAsia" w:ascii="Times New Roman" w:hAnsi="Times New Roman"/>
          <w:color w:val="auto"/>
          <w:sz w:val="24"/>
          <w:szCs w:val="24"/>
          <w:highlight w:val="none"/>
          <w:lang w:eastAsia="zh-CN"/>
        </w:rPr>
        <w:t xml:space="preserve">供应商</w:t>
      </w:r>
      <w:r>
        <w:rPr>
          <w:rFonts w:hint="eastAsia" w:ascii="Times New Roman" w:hAnsi="Times New Roman"/>
          <w:color w:val="auto"/>
          <w:sz w:val="24"/>
          <w:szCs w:val="24"/>
          <w:highlight w:val="none"/>
        </w:rPr>
        <w:t xml:space="preserve">名称）授权________________（被授权人的姓名）为我方就JSZC-</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号项目采购活动的合法代理人，以本单位名义全权处理一切与该项目采购有关的事务。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ind w:firstLine="480"/>
        <w:keepLines w:val="0"/>
        <w:keepNext w:val="0"/>
        <w:pageBreakBefore w:val="0"/>
        <w:spacing w:line="360" w:lineRule="auto"/>
        <w:widowControl w:val="off"/>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被授权人身份证号码：</w:t>
      </w:r>
      <w:r>
        <w:rPr>
          <w:rFonts w:hint="eastAsia" w:ascii="Times New Roman" w:hAnsi="Times New Roman"/>
          <w:color w:val="auto"/>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被授权人联系电话：（手机）</w:t>
      </w:r>
      <w:r>
        <w:rPr>
          <w:rFonts w:hint="eastAsia" w:ascii="Times New Roman" w:hAnsi="Times New Roman"/>
          <w:color w:val="auto"/>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ind w:firstLine="480"/>
        <w:keepLines w:val="0"/>
        <w:keepNext w:val="0"/>
        <w:pageBreakBefore w:val="0"/>
        <w:spacing w:line="360" w:lineRule="auto"/>
        <w:widowControl w:val="off"/>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单位地址：</w:t>
      </w:r>
      <w:r>
        <w:rPr>
          <w:rFonts w:hint="eastAsia" w:ascii="Times New Roman" w:hAnsi="Times New Roman"/>
          <w:color w:val="auto"/>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日期：</w:t>
      </w:r>
      <w:bookmarkStart w:id="203" w:name="_Hlt26955070"/>
      <w:r/>
      <w:bookmarkEnd w:id="203"/>
      <w:r/>
      <w:bookmarkStart w:id="204" w:name="_Hlt26671380"/>
      <w:r/>
      <w:bookmarkEnd w:id="204"/>
      <w:r/>
      <w:bookmarkStart w:id="205" w:name="_格式3__银行出具的资信证明"/>
      <w:r/>
      <w:bookmarkEnd w:id="205"/>
      <w:r>
        <w:rPr>
          <w:rFonts w:hint="eastAsia" w:ascii="Times New Roman" w:hAnsi="Times New Roman"/>
          <w:color w:val="auto"/>
          <w:sz w:val="24"/>
          <w:szCs w:val="24"/>
          <w:highlight w:val="none"/>
          <w:u w:val="single"/>
        </w:rPr>
        <w:t xml:space="preserve">                                         </w:t>
      </w:r>
      <w:r/>
    </w:p>
    <w:p>
      <w:pPr>
        <w:ind w:firstLine="573"/>
        <w:spacing w:line="560" w:lineRule="exact"/>
        <w:rPr>
          <w:rFonts w:ascii="宋体" w:hAnsi="宋体"/>
          <w:color w:val="auto"/>
          <w:sz w:val="24"/>
          <w:szCs w:val="24"/>
          <w:highlight w:val="none"/>
        </w:rPr>
      </w:pP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12" name="文本框 5"/>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wps:txbx>
                      <wps:bodyPr wrap="square" anchor="ctr" upright="1"/>
                    </wps:wsp>
                  </a:graphicData>
                </a:graphic>
              </wp:anchor>
            </w:drawing>
          </mc:Choice>
          <mc:Fallback>
            <w:pict>
              <v:shape id="shape 11" o:spid="_x0000_s11" o:spt="202" type="#_x0000_t202" style="position:absolute;z-index:251659264;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117475</wp:posOffset>
                </wp:positionV>
                <wp:extent cx="2240915" cy="1125855"/>
                <wp:effectExtent l="0" t="0" r="0" b="0"/>
                <wp:wrapNone/>
                <wp:docPr id="13" name="文本框 6"/>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wps:txbx>
                      <wps:bodyPr wrap="square" anchor="ctr" upright="1"/>
                    </wps:wsp>
                  </a:graphicData>
                </a:graphic>
              </wp:anchor>
            </w:drawing>
          </mc:Choice>
          <mc:Fallback>
            <w:pict>
              <v:shape id="shape 12" o:spid="_x0000_s12" o:spt="202" type="#_x0000_t202" style="position:absolute;z-index:251659264;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p>
    <w:p>
      <w:pPr>
        <w:ind w:firstLine="573"/>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rPr>
          <w:rFonts w:hint="eastAsia" w:ascii="宋体" w:hAnsi="宋体" w:eastAsia="宋体" w:cs="Times New Roman"/>
          <w:b/>
          <w:color w:val="auto"/>
          <w:sz w:val="30"/>
          <w:szCs w:val="30"/>
          <w:highlight w:val="none"/>
        </w:rPr>
      </w:pPr>
      <w:r/>
      <w:bookmarkStart w:id="206" w:name="_Toc78297530"/>
      <w:r/>
      <w:r/>
    </w:p>
    <w:p>
      <w:pPr>
        <w:jc w:val="center"/>
        <w:spacing w:line="360" w:lineRule="auto"/>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具备履行合同所必需的设备和专业技术能力的书面声明</w:t>
      </w:r>
      <w:bookmarkEnd w:id="206"/>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ind w:firstLine="492"/>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jc w:val="center"/>
        <w:keepLines/>
        <w:keepNext/>
        <w:spacing w:before="260" w:after="260" w:line="416" w:lineRule="auto"/>
        <w:rPr>
          <w:rFonts w:hint="eastAsia" w:ascii="宋体" w:hAnsi="宋体" w:cs="宋体"/>
          <w:b/>
          <w:color w:val="auto"/>
          <w:sz w:val="44"/>
          <w:szCs w:val="20"/>
          <w:highlight w:val="none"/>
        </w:rPr>
        <w:outlineLvl w:val="1"/>
      </w:pPr>
      <w:r>
        <w:rPr>
          <w:rFonts w:hint="eastAsia" w:ascii="宋体" w:hAnsi="宋体" w:cs="宋体"/>
          <w:b/>
          <w:color w:val="auto"/>
          <w:sz w:val="44"/>
          <w:szCs w:val="20"/>
          <w:highlight w:val="none"/>
        </w:rPr>
      </w:r>
      <w:r/>
    </w:p>
    <w:p>
      <w:pPr>
        <w:rPr>
          <w:rFonts w:hint="eastAsia" w:ascii="宋体" w:hAnsi="宋体" w:cs="宋体"/>
          <w:color w:val="auto"/>
          <w:szCs w:val="24"/>
          <w:highlight w:val="none"/>
        </w:rPr>
      </w:pPr>
      <w:r>
        <w:rPr>
          <w:rFonts w:hint="eastAsia" w:ascii="宋体" w:hAnsi="宋体" w:cs="宋体"/>
          <w:color w:val="auto"/>
          <w:szCs w:val="24"/>
          <w:highlight w:val="none"/>
        </w:rPr>
        <w:t xml:space="preserve"> </w:t>
      </w:r>
      <w:r>
        <w:rPr>
          <w:rFonts w:ascii="宋体" w:hAnsi="宋体" w:cs="宋体"/>
          <w:color w:val="auto"/>
          <w:szCs w:val="24"/>
          <w:highlight w:val="none"/>
        </w:rPr>
        <w:t xml:space="preserve"> </w:t>
      </w:r>
      <w:r/>
    </w:p>
    <w:p>
      <w:pPr>
        <w:jc w:val="center"/>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磋商供应商</w:t>
      </w:r>
      <w:r>
        <w:rPr>
          <w:rFonts w:hint="eastAsia" w:ascii="宋体" w:hAnsi="宋体"/>
          <w:color w:val="auto"/>
          <w:sz w:val="24"/>
          <w:szCs w:val="24"/>
          <w:highlight w:val="none"/>
        </w:rPr>
        <w:t xml:space="preserve">（盖公章）：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ind w:right="-512" w:firstLine="3720"/>
        <w:spacing w:line="360" w:lineRule="auto"/>
        <w:tabs>
          <w:tab w:val="left" w:pos="432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法定代表人（签字或盖章）：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jc w:val="center"/>
        <w:spacing w:line="360" w:lineRule="auto"/>
        <w:rPr>
          <w:rFonts w:ascii="宋体" w:hAnsi="宋体" w:cs="宋体"/>
          <w:b/>
          <w:bCs/>
          <w:color w:val="auto"/>
          <w:sz w:val="24"/>
          <w:szCs w:val="24"/>
          <w:highlight w:val="none"/>
        </w:rPr>
      </w:pPr>
      <w:r/>
      <w:bookmarkStart w:id="207" w:name="_Toc78297531"/>
      <w:r/>
      <w:r/>
    </w:p>
    <w:p>
      <w:pPr>
        <w:rPr>
          <w:rFonts w:ascii="宋体" w:hAnsi="宋体" w:cs="宋体"/>
          <w:b/>
          <w:bCs/>
          <w:color w:val="auto"/>
          <w:sz w:val="24"/>
          <w:szCs w:val="24"/>
          <w:highlight w:val="none"/>
        </w:rPr>
      </w:pPr>
      <w:r>
        <w:rPr>
          <w:rFonts w:ascii="宋体" w:hAnsi="宋体" w:cs="宋体"/>
          <w:b/>
          <w:bCs/>
          <w:color w:val="auto"/>
          <w:sz w:val="24"/>
          <w:szCs w:val="24"/>
          <w:highlight w:val="none"/>
        </w:rPr>
        <w:br w:type="page" w:clear="all"/>
      </w:r>
      <w:r/>
    </w:p>
    <w:p>
      <w:pPr>
        <w:jc w:val="center"/>
        <w:spacing w:line="360" w:lineRule="auto"/>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参加政府采购活动前</w:t>
      </w:r>
      <w:r>
        <w:rPr>
          <w:rFonts w:hint="eastAsia" w:ascii="宋体" w:hAnsi="宋体" w:eastAsia="宋体" w:cs="Times New Roman"/>
          <w:b/>
          <w:color w:val="auto"/>
          <w:sz w:val="30"/>
          <w:szCs w:val="30"/>
          <w:highlight w:val="none"/>
          <w:lang w:val="en-US" w:eastAsia="zh-CN"/>
        </w:rPr>
        <w:t xml:space="preserve">3</w:t>
      </w:r>
      <w:r>
        <w:rPr>
          <w:rFonts w:hint="eastAsia" w:ascii="宋体" w:hAnsi="宋体" w:eastAsia="宋体" w:cs="Times New Roman"/>
          <w:b/>
          <w:color w:val="auto"/>
          <w:sz w:val="30"/>
          <w:szCs w:val="30"/>
          <w:highlight w:val="none"/>
        </w:rPr>
        <w:t xml:space="preserve">年内在经营活动中没有重大违法记录的书面声明</w:t>
      </w:r>
      <w:r/>
    </w:p>
    <w:p>
      <w:pPr>
        <w:spacing w:line="460" w:lineRule="exact"/>
        <w:rPr>
          <w:rFonts w:hint="eastAsia" w:ascii="宋体" w:hAnsi="宋体" w:cs="宋体"/>
          <w:b/>
          <w:bCs/>
          <w:color w:val="auto"/>
          <w:sz w:val="44"/>
          <w:szCs w:val="44"/>
          <w:highlight w:val="none"/>
        </w:rPr>
      </w:pPr>
      <w:r>
        <w:rPr>
          <w:rFonts w:hint="eastAsia" w:ascii="宋体" w:hAnsi="宋体" w:cs="宋体"/>
          <w:b/>
          <w:bCs/>
          <w:color w:val="auto"/>
          <w:sz w:val="24"/>
          <w:szCs w:val="24"/>
          <w:highlight w:val="none"/>
        </w:rPr>
        <w:t xml:space="preserve">                       </w:t>
      </w:r>
      <w:r>
        <w:rPr>
          <w:rFonts w:hint="eastAsia" w:ascii="宋体" w:hAnsi="宋体" w:cs="宋体"/>
          <w:b/>
          <w:bCs/>
          <w:color w:val="auto"/>
          <w:sz w:val="44"/>
          <w:szCs w:val="44"/>
          <w:highlight w:val="none"/>
        </w:rPr>
        <w:t xml:space="preserve">   </w:t>
      </w:r>
      <w:r/>
    </w:p>
    <w:p>
      <w:pPr>
        <w:ind w:firstLine="492"/>
        <w:spacing w:line="4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我单位郑重声明：参加本次政府采购活动前</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年内，我单位在经营活动中没有因违法经营受到刑事处罚或者责令停产停业、吊销许可证或者执照、较大数额罚款等行政处罚。</w:t>
      </w:r>
      <w:r/>
    </w:p>
    <w:p>
      <w:pPr>
        <w:ind w:firstLine="492"/>
        <w:spacing w:line="46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 </w:t>
      </w:r>
      <w:r/>
    </w:p>
    <w:p>
      <w:pPr>
        <w:ind w:firstLine="492"/>
        <w:spacing w:line="460" w:lineRule="exact"/>
        <w:rPr>
          <w:rFonts w:ascii="宋体" w:hAnsi="宋体" w:cs="宋体"/>
          <w:bCs/>
          <w:color w:val="auto"/>
          <w:sz w:val="24"/>
          <w:szCs w:val="24"/>
          <w:highlight w:val="none"/>
        </w:rPr>
      </w:pPr>
      <w:r>
        <w:rPr>
          <w:rFonts w:ascii="宋体" w:hAnsi="宋体" w:cs="宋体"/>
          <w:bCs/>
          <w:color w:val="auto"/>
          <w:sz w:val="24"/>
          <w:szCs w:val="24"/>
          <w:highlight w:val="none"/>
        </w:rPr>
      </w:r>
      <w:r/>
    </w:p>
    <w:p>
      <w:pPr>
        <w:spacing w:line="4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p>
      <w:pPr>
        <w:ind w:firstLine="480"/>
        <w:jc w:val="right"/>
        <w:spacing w:line="360" w:lineRule="auto"/>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rPr>
        <w:t xml:space="preserve">供应商名称（公章）：</w:t>
      </w:r>
      <w:r>
        <w:rPr>
          <w:rFonts w:hint="eastAsia" w:ascii="Times New Roman" w:hAnsi="Times New Roman" w:cs="宋体"/>
          <w:color w:val="auto"/>
          <w:sz w:val="24"/>
          <w:szCs w:val="24"/>
          <w:highlight w:val="none"/>
          <w:lang w:val="en-US" w:eastAsia="zh-CN"/>
        </w:rPr>
        <w:t xml:space="preserve">   </w:t>
      </w:r>
      <w:r/>
    </w:p>
    <w:p>
      <w:pPr>
        <w:ind w:firstLine="480"/>
        <w:jc w:val="right"/>
        <w:spacing w:line="360" w:lineRule="auto"/>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p>
      <w:pPr>
        <w:pStyle w:val="694"/>
        <w:jc w:val="right"/>
        <w:rPr>
          <w:rFonts w:hint="eastAsia" w:ascii="Times New Roman" w:hAnsi="Times New Roman" w:eastAsia="宋体" w:cs="宋体"/>
          <w:b w:val="0"/>
          <w:color w:val="auto"/>
          <w:sz w:val="24"/>
          <w:szCs w:val="24"/>
          <w:highlight w:val="none"/>
          <w:lang w:val="en-US" w:eastAsia="zh-CN" w:bidi="ar-SA"/>
        </w:rPr>
      </w:pPr>
      <w:r>
        <w:rPr>
          <w:rFonts w:hint="eastAsia" w:ascii="Times New Roman" w:hAnsi="Times New Roman" w:eastAsia="宋体" w:cs="宋体"/>
          <w:b w:val="0"/>
          <w:color w:val="auto"/>
          <w:sz w:val="24"/>
          <w:szCs w:val="24"/>
          <w:highlight w:val="none"/>
          <w:lang w:val="en-US" w:eastAsia="zh-CN" w:bidi="ar-SA"/>
        </w:rPr>
        <w:t xml:space="preserve">日期：     年    月    日</w:t>
      </w:r>
      <w:r/>
    </w:p>
    <w:p>
      <w:pPr>
        <w:rPr>
          <w:rFonts w:hint="eastAsia" w:ascii="Times New Roman" w:hAnsi="Times New Roman" w:eastAsia="宋体" w:cs="宋体"/>
          <w:b w:val="0"/>
          <w:color w:val="auto"/>
          <w:sz w:val="24"/>
          <w:szCs w:val="24"/>
          <w:highlight w:val="none"/>
          <w:lang w:val="en-US" w:eastAsia="zh-CN" w:bidi="ar-SA"/>
        </w:rPr>
      </w:pPr>
      <w:r>
        <w:rPr>
          <w:rFonts w:hint="eastAsia" w:ascii="Times New Roman" w:hAnsi="Times New Roman" w:eastAsia="宋体" w:cs="宋体"/>
          <w:b w:val="0"/>
          <w:color w:val="auto"/>
          <w:sz w:val="24"/>
          <w:szCs w:val="24"/>
          <w:highlight w:val="none"/>
          <w:lang w:val="en-US" w:eastAsia="zh-CN" w:bidi="ar-SA"/>
        </w:rPr>
      </w:r>
      <w:r/>
    </w:p>
    <w:p>
      <w:pPr>
        <w:rPr>
          <w:rFonts w:hint="eastAsia" w:ascii="Times New Roman" w:hAnsi="Times New Roman" w:eastAsia="宋体" w:cs="宋体"/>
          <w:b w:val="0"/>
          <w:color w:val="auto"/>
          <w:sz w:val="24"/>
          <w:szCs w:val="24"/>
          <w:highlight w:val="none"/>
          <w:lang w:val="en-US" w:eastAsia="zh-CN" w:bidi="ar-SA"/>
        </w:rPr>
      </w:pPr>
      <w:r>
        <w:rPr>
          <w:rFonts w:hint="eastAsia" w:ascii="Times New Roman" w:hAnsi="Times New Roman" w:eastAsia="宋体" w:cs="宋体"/>
          <w:b w:val="0"/>
          <w:color w:val="auto"/>
          <w:sz w:val="24"/>
          <w:szCs w:val="24"/>
          <w:highlight w:val="none"/>
          <w:lang w:val="en-US" w:eastAsia="zh-CN" w:bidi="ar-SA"/>
        </w:rPr>
        <w:br w:type="page" w:clear="all"/>
      </w:r>
      <w:r/>
    </w:p>
    <w:p>
      <w:pPr>
        <w:jc w:val="center"/>
        <w:spacing w:line="360" w:lineRule="auto"/>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t xml:space="preserve">拟派项目组人员一览表</w:t>
      </w:r>
      <w:r/>
    </w:p>
    <w:p>
      <w:pPr>
        <w:jc w:val="center"/>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tbl>
      <w:tblPr>
        <w:tblStyle w:val="695"/>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1984"/>
        <w:gridCol w:w="1701"/>
        <w:gridCol w:w="1701"/>
        <w:gridCol w:w="1247"/>
        <w:gridCol w:w="1433"/>
      </w:tblGrid>
      <w:tr>
        <w:trPr>
          <w:jc w:val="center"/>
          <w:trHeight w:val="850"/>
        </w:trPr>
        <w:tc>
          <w:tcPr>
            <w:tcW w:w="1078" w:type="dxa"/>
            <w:vAlign w:val="center"/>
            <w:textDirection w:val="lrTb"/>
            <w:noWrap w:val="false"/>
          </w:tcPr>
          <w:p>
            <w:pPr>
              <w:jc w:val="center"/>
              <w:spacing w:after="0" w:line="240" w:lineRule="auto"/>
              <w:rPr>
                <w:rFonts w:hint="default" w:ascii="Times New Roman" w:hAnsi="Times New Roman" w:eastAsia="宋体" w:cs="宋体"/>
                <w:b/>
                <w:bCs/>
                <w:color w:val="auto"/>
                <w:sz w:val="24"/>
                <w:szCs w:val="24"/>
                <w:highlight w:val="none"/>
                <w:vertAlign w:val="baseline"/>
                <w:lang w:val="en-US" w:eastAsia="zh-CN" w:bidi="ar-SA"/>
              </w:rPr>
            </w:pPr>
            <w:r>
              <w:rPr>
                <w:rFonts w:hint="eastAsia" w:ascii="Times New Roman" w:hAnsi="Times New Roman" w:eastAsia="宋体" w:cs="宋体"/>
                <w:b/>
                <w:bCs/>
                <w:color w:val="auto"/>
                <w:sz w:val="24"/>
                <w:szCs w:val="24"/>
                <w:highlight w:val="none"/>
                <w:vertAlign w:val="baseline"/>
                <w:lang w:val="en-US" w:eastAsia="zh-CN" w:bidi="ar-SA"/>
              </w:rPr>
              <w:t xml:space="preserve">序号</w:t>
            </w:r>
            <w:r/>
          </w:p>
        </w:tc>
        <w:tc>
          <w:tcPr>
            <w:tcW w:w="1984" w:type="dxa"/>
            <w:vAlign w:val="center"/>
            <w:textDirection w:val="lrTb"/>
            <w:noWrap w:val="false"/>
          </w:tcPr>
          <w:p>
            <w:pPr>
              <w:jc w:val="center"/>
              <w:spacing w:after="0" w:line="240" w:lineRule="auto"/>
              <w:rPr>
                <w:rFonts w:hint="eastAsia" w:ascii="Times New Roman" w:hAnsi="Times New Roman" w:eastAsia="宋体" w:cs="宋体"/>
                <w:b/>
                <w:bCs/>
                <w:color w:val="auto"/>
                <w:sz w:val="24"/>
                <w:szCs w:val="24"/>
                <w:highlight w:val="none"/>
                <w:vertAlign w:val="baseline"/>
                <w:lang w:val="en-US" w:eastAsia="zh-CN" w:bidi="ar-SA"/>
              </w:rPr>
            </w:pPr>
            <w:r>
              <w:rPr>
                <w:rFonts w:hint="eastAsia" w:ascii="Times New Roman" w:hAnsi="Times New Roman" w:cs="宋体"/>
                <w:b/>
                <w:bCs/>
                <w:color w:val="auto"/>
                <w:sz w:val="24"/>
                <w:szCs w:val="24"/>
                <w:highlight w:val="none"/>
                <w:vertAlign w:val="baseline"/>
                <w:lang w:val="en-US" w:eastAsia="zh-CN" w:bidi="ar-SA"/>
              </w:rPr>
              <w:t xml:space="preserve">岗位</w:t>
            </w:r>
            <w:r/>
          </w:p>
        </w:tc>
        <w:tc>
          <w:tcPr>
            <w:tcW w:w="1701" w:type="dxa"/>
            <w:vAlign w:val="center"/>
            <w:textDirection w:val="lrTb"/>
            <w:noWrap w:val="false"/>
          </w:tcPr>
          <w:p>
            <w:pPr>
              <w:jc w:val="center"/>
              <w:spacing w:after="0" w:line="240" w:lineRule="auto"/>
              <w:rPr>
                <w:rFonts w:hint="default" w:ascii="Times New Roman" w:hAnsi="Times New Roman" w:eastAsia="宋体" w:cs="宋体"/>
                <w:b/>
                <w:bCs/>
                <w:color w:val="auto"/>
                <w:sz w:val="24"/>
                <w:szCs w:val="24"/>
                <w:highlight w:val="none"/>
                <w:vertAlign w:val="baseline"/>
                <w:lang w:val="en-US" w:eastAsia="zh-CN" w:bidi="ar-SA"/>
              </w:rPr>
            </w:pPr>
            <w:r>
              <w:rPr>
                <w:rFonts w:hint="eastAsia" w:ascii="Times New Roman" w:hAnsi="Times New Roman" w:eastAsia="宋体" w:cs="宋体"/>
                <w:b/>
                <w:bCs/>
                <w:color w:val="auto"/>
                <w:sz w:val="24"/>
                <w:szCs w:val="24"/>
                <w:highlight w:val="none"/>
                <w:vertAlign w:val="baseline"/>
                <w:lang w:val="en-US" w:eastAsia="zh-CN" w:bidi="ar-SA"/>
              </w:rPr>
              <w:t xml:space="preserve">姓名</w:t>
            </w:r>
            <w:r/>
          </w:p>
        </w:tc>
        <w:tc>
          <w:tcPr>
            <w:tcW w:w="1701" w:type="dxa"/>
            <w:vAlign w:val="center"/>
            <w:textDirection w:val="lrTb"/>
            <w:noWrap w:val="false"/>
          </w:tcPr>
          <w:p>
            <w:pPr>
              <w:jc w:val="center"/>
              <w:spacing w:after="0" w:line="240" w:lineRule="auto"/>
              <w:rPr>
                <w:rFonts w:hint="eastAsia" w:ascii="Times New Roman" w:hAnsi="Times New Roman" w:eastAsia="宋体" w:cs="宋体"/>
                <w:b/>
                <w:bCs/>
                <w:color w:val="auto"/>
                <w:sz w:val="24"/>
                <w:szCs w:val="24"/>
                <w:highlight w:val="none"/>
                <w:vertAlign w:val="baseline"/>
                <w:lang w:val="en-US" w:eastAsia="zh-CN" w:bidi="ar-SA"/>
              </w:rPr>
            </w:pPr>
            <w:r>
              <w:rPr>
                <w:rFonts w:hint="eastAsia" w:ascii="Times New Roman" w:hAnsi="Times New Roman" w:eastAsia="宋体" w:cs="宋体"/>
                <w:b/>
                <w:bCs/>
                <w:color w:val="auto"/>
                <w:sz w:val="24"/>
                <w:szCs w:val="24"/>
                <w:highlight w:val="none"/>
                <w:vertAlign w:val="baseline"/>
                <w:lang w:val="en-US" w:eastAsia="zh-CN" w:bidi="ar-SA"/>
              </w:rPr>
              <w:t xml:space="preserve">年龄</w:t>
            </w:r>
            <w:r/>
          </w:p>
        </w:tc>
        <w:tc>
          <w:tcPr>
            <w:tcW w:w="1247" w:type="dxa"/>
            <w:vAlign w:val="center"/>
            <w:textDirection w:val="lrTb"/>
            <w:noWrap w:val="false"/>
          </w:tcPr>
          <w:p>
            <w:pPr>
              <w:jc w:val="center"/>
              <w:spacing w:after="0" w:line="240" w:lineRule="auto"/>
              <w:rPr>
                <w:rFonts w:hint="default" w:ascii="Times New Roman" w:hAnsi="Times New Roman" w:eastAsia="宋体" w:cs="宋体"/>
                <w:b/>
                <w:bCs/>
                <w:color w:val="auto"/>
                <w:sz w:val="24"/>
                <w:szCs w:val="24"/>
                <w:highlight w:val="none"/>
                <w:vertAlign w:val="baseline"/>
                <w:lang w:val="en-US" w:eastAsia="zh-CN" w:bidi="ar-SA"/>
              </w:rPr>
            </w:pPr>
            <w:r>
              <w:rPr>
                <w:rFonts w:hint="eastAsia" w:ascii="Times New Roman" w:hAnsi="Times New Roman" w:cs="宋体"/>
                <w:b/>
                <w:bCs/>
                <w:color w:val="auto"/>
                <w:sz w:val="24"/>
                <w:szCs w:val="24"/>
                <w:highlight w:val="none"/>
                <w:vertAlign w:val="baseline"/>
                <w:lang w:val="en-US" w:eastAsia="zh-CN" w:bidi="ar-SA"/>
              </w:rPr>
              <w:t xml:space="preserve">是否常驻</w:t>
            </w:r>
            <w:r/>
          </w:p>
        </w:tc>
        <w:tc>
          <w:tcPr>
            <w:tcW w:w="1433" w:type="dxa"/>
            <w:vAlign w:val="center"/>
            <w:textDirection w:val="lrTb"/>
            <w:noWrap w:val="false"/>
          </w:tcPr>
          <w:p>
            <w:pPr>
              <w:jc w:val="center"/>
              <w:spacing w:after="0" w:line="240" w:lineRule="auto"/>
              <w:rPr>
                <w:rFonts w:hint="default" w:ascii="Times New Roman" w:hAnsi="Times New Roman" w:cs="宋体"/>
                <w:b/>
                <w:bCs/>
                <w:color w:val="auto"/>
                <w:sz w:val="24"/>
                <w:szCs w:val="24"/>
                <w:highlight w:val="none"/>
                <w:vertAlign w:val="baseline"/>
                <w:lang w:val="en-US" w:eastAsia="zh-CN" w:bidi="ar-SA"/>
              </w:rPr>
            </w:pPr>
            <w:r>
              <w:rPr>
                <w:rFonts w:hint="eastAsia" w:ascii="Times New Roman" w:hAnsi="Times New Roman" w:cs="宋体"/>
                <w:b/>
                <w:bCs/>
                <w:color w:val="auto"/>
                <w:sz w:val="24"/>
                <w:szCs w:val="24"/>
                <w:highlight w:val="none"/>
                <w:vertAlign w:val="baseline"/>
                <w:lang w:val="en-US" w:eastAsia="zh-CN" w:bidi="ar-SA"/>
              </w:rPr>
              <w:t xml:space="preserve">备注</w:t>
            </w:r>
            <w:r/>
          </w:p>
        </w:tc>
      </w:tr>
      <w:tr>
        <w:trPr>
          <w:jc w:val="center"/>
          <w:trHeight w:val="850"/>
        </w:trPr>
        <w:tc>
          <w:tcPr>
            <w:tcW w:w="1078" w:type="dxa"/>
            <w:vAlign w:val="center"/>
            <w:textDirection w:val="lrTb"/>
            <w:noWrap w:val="false"/>
          </w:tcPr>
          <w:p>
            <w:pPr>
              <w:jc w:val="center"/>
              <w:spacing w:after="0" w:line="240" w:lineRule="auto"/>
              <w:rPr>
                <w:rFonts w:hint="default"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t xml:space="preserve">1</w:t>
            </w:r>
            <w:r/>
          </w:p>
        </w:tc>
        <w:tc>
          <w:tcPr>
            <w:tcW w:w="1984"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t xml:space="preserve">项目负责人（</w:t>
            </w:r>
            <w:r>
              <w:rPr>
                <w:rFonts w:hint="eastAsia" w:ascii="Times New Roman" w:hAnsi="Times New Roman" w:cs="宋体"/>
                <w:b w:val="0"/>
                <w:color w:val="auto"/>
                <w:sz w:val="24"/>
                <w:szCs w:val="24"/>
                <w:highlight w:val="none"/>
                <w:vertAlign w:val="baseline"/>
                <w:lang w:val="en-US" w:eastAsia="zh-CN" w:bidi="ar-SA"/>
              </w:rPr>
              <w:t xml:space="preserve">安全管理人员</w:t>
            </w:r>
            <w:r>
              <w:rPr>
                <w:rFonts w:hint="eastAsia" w:ascii="Times New Roman" w:hAnsi="Times New Roman" w:eastAsia="宋体" w:cs="宋体"/>
                <w:b w:val="0"/>
                <w:color w:val="auto"/>
                <w:sz w:val="24"/>
                <w:szCs w:val="24"/>
                <w:highlight w:val="none"/>
                <w:vertAlign w:val="baseline"/>
                <w:lang w:val="en-US" w:eastAsia="zh-CN" w:bidi="ar-SA"/>
              </w:rPr>
              <w:t xml:space="preserve">）</w:t>
            </w:r>
            <w:r/>
          </w:p>
        </w:tc>
        <w:tc>
          <w:tcPr>
            <w:tcW w:w="1701"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701"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247"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433"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r>
      <w:tr>
        <w:trPr>
          <w:jc w:val="center"/>
          <w:trHeight w:val="850"/>
        </w:trPr>
        <w:tc>
          <w:tcPr>
            <w:tcW w:w="1078" w:type="dxa"/>
            <w:vAlign w:val="center"/>
            <w:textDirection w:val="lrTb"/>
            <w:noWrap w:val="false"/>
          </w:tcPr>
          <w:p>
            <w:pPr>
              <w:jc w:val="center"/>
              <w:spacing w:after="0" w:line="240" w:lineRule="auto"/>
              <w:rPr>
                <w:rFonts w:hint="default"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t xml:space="preserve">2</w:t>
            </w:r>
            <w:r/>
          </w:p>
        </w:tc>
        <w:tc>
          <w:tcPr>
            <w:tcW w:w="1984" w:type="dxa"/>
            <w:vAlign w:val="center"/>
            <w:vMerge w:val="restart"/>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宋体" w:hAnsi="宋体" w:eastAsia="宋体" w:cs="宋体"/>
                <w:color w:val="auto"/>
                <w:sz w:val="24"/>
                <w:szCs w:val="24"/>
                <w:highlight w:val="none"/>
              </w:rPr>
              <w:t xml:space="preserve">巡查岗</w:t>
            </w:r>
            <w:r/>
          </w:p>
        </w:tc>
        <w:tc>
          <w:tcPr>
            <w:tcW w:w="1701"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701"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247"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433"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r>
      <w:tr>
        <w:trPr>
          <w:jc w:val="center"/>
          <w:trHeight w:val="850"/>
        </w:trPr>
        <w:tc>
          <w:tcPr>
            <w:tcW w:w="1078" w:type="dxa"/>
            <w:vAlign w:val="center"/>
            <w:textDirection w:val="lrTb"/>
            <w:noWrap w:val="false"/>
          </w:tcPr>
          <w:p>
            <w:pPr>
              <w:jc w:val="center"/>
              <w:spacing w:after="0" w:line="240" w:lineRule="auto"/>
              <w:rPr>
                <w:rFonts w:hint="default"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t xml:space="preserve">3</w:t>
            </w:r>
            <w:r/>
          </w:p>
        </w:tc>
        <w:tc>
          <w:tcPr>
            <w:tcW w:w="1984" w:type="dxa"/>
            <w:vAlign w:val="center"/>
            <w:vMerge w:val="continue"/>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701"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701"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247"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433"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r>
      <w:tr>
        <w:trPr>
          <w:jc w:val="center"/>
          <w:trHeight w:val="850"/>
        </w:trPr>
        <w:tc>
          <w:tcPr>
            <w:shd w:val="clear" w:color="auto" w:fill="auto"/>
            <w:tcW w:w="1078"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cs="宋体"/>
                <w:b w:val="0"/>
                <w:color w:val="auto"/>
                <w:sz w:val="24"/>
                <w:szCs w:val="24"/>
                <w:highlight w:val="none"/>
                <w:vertAlign w:val="baseline"/>
                <w:lang w:val="en-US" w:eastAsia="zh-CN" w:bidi="ar-SA"/>
              </w:rPr>
              <w:t xml:space="preserve">4</w:t>
            </w:r>
            <w:r/>
          </w:p>
        </w:tc>
        <w:tc>
          <w:tcPr>
            <w:tcW w:w="1984" w:type="dxa"/>
            <w:vAlign w:val="center"/>
            <w:vMerge w:val="continue"/>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701"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701"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247"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433"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r>
      <w:tr>
        <w:trPr>
          <w:jc w:val="center"/>
          <w:trHeight w:val="850"/>
        </w:trPr>
        <w:tc>
          <w:tcPr>
            <w:shd w:val="clear" w:color="auto" w:fill="auto"/>
            <w:tcW w:w="1078" w:type="dxa"/>
            <w:vAlign w:val="center"/>
            <w:textDirection w:val="lrTb"/>
            <w:noWrap w:val="false"/>
          </w:tcPr>
          <w:p>
            <w:pPr>
              <w:jc w:val="center"/>
              <w:spacing w:after="0" w:line="240" w:lineRule="auto"/>
              <w:rPr>
                <w:rFonts w:hint="default"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cs="宋体"/>
                <w:b w:val="0"/>
                <w:color w:val="auto"/>
                <w:sz w:val="24"/>
                <w:szCs w:val="24"/>
                <w:highlight w:val="none"/>
                <w:vertAlign w:val="baseline"/>
                <w:lang w:val="en-US" w:eastAsia="zh-CN" w:bidi="ar-SA"/>
              </w:rPr>
              <w:t xml:space="preserve">5</w:t>
            </w:r>
            <w:r/>
          </w:p>
        </w:tc>
        <w:tc>
          <w:tcPr>
            <w:tcW w:w="1984" w:type="dxa"/>
            <w:vAlign w:val="center"/>
            <w:vMerge w:val="continue"/>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701"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701"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247"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433"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r>
      <w:tr>
        <w:trPr>
          <w:jc w:val="center"/>
          <w:trHeight w:val="850"/>
        </w:trPr>
        <w:tc>
          <w:tcPr>
            <w:shd w:val="clear" w:color="auto" w:fill="auto"/>
            <w:tcW w:w="1078" w:type="dxa"/>
            <w:vAlign w:val="center"/>
            <w:textDirection w:val="lrTb"/>
            <w:noWrap w:val="false"/>
          </w:tcPr>
          <w:p>
            <w:pPr>
              <w:jc w:val="center"/>
              <w:spacing w:after="0" w:line="240" w:lineRule="auto"/>
              <w:rPr>
                <w:rFonts w:hint="default"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cs="宋体"/>
                <w:b w:val="0"/>
                <w:color w:val="auto"/>
                <w:sz w:val="24"/>
                <w:szCs w:val="24"/>
                <w:highlight w:val="none"/>
                <w:vertAlign w:val="baseline"/>
                <w:lang w:val="en-US" w:eastAsia="zh-CN" w:bidi="ar-SA"/>
              </w:rPr>
              <w:t xml:space="preserve">6</w:t>
            </w:r>
            <w:r/>
          </w:p>
        </w:tc>
        <w:tc>
          <w:tcPr>
            <w:tcW w:w="1984" w:type="dxa"/>
            <w:vAlign w:val="center"/>
            <w:vMerge w:val="restart"/>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 xml:space="preserve">维保</w:t>
            </w:r>
            <w:r>
              <w:rPr>
                <w:rFonts w:hint="eastAsia" w:ascii="宋体" w:hAnsi="宋体" w:eastAsia="宋体" w:cs="宋体"/>
                <w:color w:val="auto"/>
                <w:sz w:val="24"/>
                <w:szCs w:val="24"/>
                <w:highlight w:val="none"/>
              </w:rPr>
              <w:t xml:space="preserve">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含1名电工</w:t>
            </w:r>
            <w:r>
              <w:rPr>
                <w:rFonts w:hint="eastAsia" w:ascii="宋体" w:hAnsi="宋体" w:eastAsia="宋体" w:cs="宋体"/>
                <w:color w:val="auto"/>
                <w:sz w:val="24"/>
                <w:szCs w:val="24"/>
                <w:highlight w:val="none"/>
                <w:lang w:eastAsia="zh-CN"/>
              </w:rPr>
              <w:t xml:space="preserve">）</w:t>
            </w:r>
            <w:r/>
          </w:p>
        </w:tc>
        <w:tc>
          <w:tcPr>
            <w:tcW w:w="1701"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701"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247"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433"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r>
      <w:tr>
        <w:trPr>
          <w:jc w:val="center"/>
          <w:trHeight w:val="850"/>
        </w:trPr>
        <w:tc>
          <w:tcPr>
            <w:shd w:val="clear" w:color="auto" w:fill="auto"/>
            <w:tcW w:w="1078" w:type="dxa"/>
            <w:vAlign w:val="center"/>
            <w:textDirection w:val="lrTb"/>
            <w:noWrap w:val="false"/>
          </w:tcPr>
          <w:p>
            <w:pPr>
              <w:jc w:val="center"/>
              <w:spacing w:after="0" w:line="240" w:lineRule="auto"/>
              <w:rPr>
                <w:rFonts w:hint="default"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cs="宋体"/>
                <w:b w:val="0"/>
                <w:color w:val="auto"/>
                <w:sz w:val="24"/>
                <w:szCs w:val="24"/>
                <w:highlight w:val="none"/>
                <w:vertAlign w:val="baseline"/>
                <w:lang w:val="en-US" w:eastAsia="zh-CN" w:bidi="ar-SA"/>
              </w:rPr>
              <w:t xml:space="preserve">7</w:t>
            </w:r>
            <w:r/>
          </w:p>
        </w:tc>
        <w:tc>
          <w:tcPr>
            <w:tcW w:w="1984" w:type="dxa"/>
            <w:vAlign w:val="center"/>
            <w:vMerge w:val="continue"/>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701"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701"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247"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433"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r>
      <w:tr>
        <w:trPr>
          <w:jc w:val="center"/>
          <w:trHeight w:val="850"/>
        </w:trPr>
        <w:tc>
          <w:tcPr>
            <w:tcW w:w="1078" w:type="dxa"/>
            <w:vAlign w:val="center"/>
            <w:textDirection w:val="lrTb"/>
            <w:noWrap w:val="false"/>
          </w:tcPr>
          <w:p>
            <w:pPr>
              <w:jc w:val="center"/>
              <w:spacing w:after="0" w:line="240" w:lineRule="auto"/>
              <w:rPr>
                <w:rFonts w:hint="default"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cs="宋体"/>
                <w:b w:val="0"/>
                <w:color w:val="auto"/>
                <w:sz w:val="24"/>
                <w:szCs w:val="24"/>
                <w:highlight w:val="none"/>
                <w:vertAlign w:val="baseline"/>
                <w:lang w:val="en-US" w:eastAsia="zh-CN" w:bidi="ar-SA"/>
              </w:rPr>
              <w:t xml:space="preserve">8</w:t>
            </w:r>
            <w:r/>
          </w:p>
        </w:tc>
        <w:tc>
          <w:tcPr>
            <w:tcW w:w="1984" w:type="dxa"/>
            <w:vAlign w:val="center"/>
            <w:vMerge w:val="continue"/>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701"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701"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247"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c>
          <w:tcPr>
            <w:tcW w:w="1433" w:type="dxa"/>
            <w:vAlign w:val="center"/>
            <w:textDirection w:val="lrTb"/>
            <w:noWrap w:val="false"/>
          </w:tcPr>
          <w:p>
            <w:pPr>
              <w:jc w:val="center"/>
              <w:spacing w:after="0" w:line="240" w:lineRule="auto"/>
              <w:rPr>
                <w:rFonts w:hint="eastAsia" w:ascii="Times New Roman" w:hAnsi="Times New Roman" w:eastAsia="宋体" w:cs="宋体"/>
                <w:b w:val="0"/>
                <w:color w:val="auto"/>
                <w:sz w:val="24"/>
                <w:szCs w:val="24"/>
                <w:highlight w:val="none"/>
                <w:vertAlign w:val="baseline"/>
                <w:lang w:val="en-US" w:eastAsia="zh-CN" w:bidi="ar-SA"/>
              </w:rPr>
            </w:pPr>
            <w:r>
              <w:rPr>
                <w:rFonts w:hint="eastAsia" w:ascii="Times New Roman" w:hAnsi="Times New Roman" w:eastAsia="宋体" w:cs="宋体"/>
                <w:b w:val="0"/>
                <w:color w:val="auto"/>
                <w:sz w:val="24"/>
                <w:szCs w:val="24"/>
                <w:highlight w:val="none"/>
                <w:vertAlign w:val="baseline"/>
                <w:lang w:val="en-US" w:eastAsia="zh-CN" w:bidi="ar-SA"/>
              </w:rPr>
            </w:r>
            <w:r/>
          </w:p>
        </w:tc>
      </w:tr>
    </w:tbl>
    <w:p>
      <w:pPr>
        <w:rPr>
          <w:rFonts w:hint="eastAsia" w:ascii="Times New Roman" w:hAnsi="Times New Roman" w:eastAsia="宋体" w:cs="宋体"/>
          <w:b w:val="0"/>
          <w:color w:val="auto"/>
          <w:sz w:val="24"/>
          <w:szCs w:val="24"/>
          <w:highlight w:val="none"/>
          <w:lang w:val="en-US" w:eastAsia="zh-CN" w:bidi="ar-SA"/>
        </w:rPr>
      </w:pPr>
      <w:r>
        <w:rPr>
          <w:rFonts w:hint="eastAsia" w:ascii="Times New Roman" w:hAnsi="Times New Roman" w:eastAsia="宋体" w:cs="宋体"/>
          <w:b w:val="0"/>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注：（1）表中为本项目最低要求人员，可自行添加，</w:t>
      </w:r>
      <w:r>
        <w:rPr>
          <w:rFonts w:hint="eastAsia" w:ascii="宋体" w:hAnsi="宋体" w:cs="宋体"/>
          <w:b/>
          <w:bCs/>
          <w:color w:val="auto"/>
          <w:sz w:val="24"/>
          <w:szCs w:val="24"/>
          <w:highlight w:val="none"/>
          <w:lang w:val="en-US" w:eastAsia="zh-CN"/>
        </w:rPr>
        <w:t xml:space="preserve">备注栏需注明本项目技术负责人（不可与项目负责人为同一人），维保岗至少常驻4个专业负压运维人员</w:t>
      </w:r>
      <w:r>
        <w:rPr>
          <w:rFonts w:hint="eastAsia" w:ascii="宋体" w:hAnsi="宋体" w:cs="宋体"/>
          <w:b w:val="0"/>
          <w:bCs w:val="0"/>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（2）表后附人员身份证复印件，电工须附电工证。未经采购人同意不得随意私自更换运维人员。</w:t>
      </w:r>
      <w:r/>
    </w:p>
    <w:p>
      <w:pPr>
        <w:ind w:firstLine="480"/>
        <w:jc w:val="left"/>
        <w:keepLines w:val="0"/>
        <w:keepNext w:val="0"/>
        <w:pageBreakBefore w:val="0"/>
        <w:spacing w:line="360" w:lineRule="auto"/>
        <w:widowControl w:val="off"/>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r>
      <w:r/>
    </w:p>
    <w:p>
      <w:pPr>
        <w:ind w:firstLine="480"/>
        <w:jc w:val="left"/>
        <w:keepLines w:val="0"/>
        <w:keepNext w:val="0"/>
        <w:pageBreakBefore w:val="0"/>
        <w:spacing w:line="360" w:lineRule="auto"/>
        <w:widowControl w:val="off"/>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rPr>
        <w:t xml:space="preserve">供应商名称（公章）：</w:t>
      </w:r>
      <w:r>
        <w:rPr>
          <w:rFonts w:hint="eastAsia" w:ascii="Times New Roman" w:hAnsi="Times New Roman"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val="off"/>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p>
      <w:p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Times New Roman" w:hAnsi="Times New Roman" w:eastAsia="宋体" w:cs="宋体"/>
          <w:b w:val="0"/>
          <w:color w:val="auto"/>
          <w:sz w:val="24"/>
          <w:szCs w:val="24"/>
          <w:highlight w:val="none"/>
          <w:lang w:val="en-US" w:eastAsia="zh-CN" w:bidi="ar-SA"/>
        </w:rPr>
        <w:t xml:space="preserve">日期：     年    月    日</w:t>
      </w:r>
      <w:r/>
    </w:p>
    <w:p>
      <w:pPr>
        <w:rPr>
          <w:rFonts w:ascii="宋体" w:hAnsi="宋体" w:cs="宋体"/>
          <w:b/>
          <w:bCs/>
          <w:color w:val="auto"/>
          <w:sz w:val="24"/>
          <w:szCs w:val="24"/>
          <w:highlight w:val="none"/>
        </w:rPr>
      </w:pPr>
      <w:r>
        <w:rPr>
          <w:rFonts w:ascii="宋体" w:hAnsi="宋体" w:cs="宋体"/>
          <w:b/>
          <w:bCs/>
          <w:color w:val="auto"/>
          <w:sz w:val="24"/>
          <w:szCs w:val="24"/>
          <w:highlight w:val="none"/>
        </w:rPr>
      </w:r>
      <w:r/>
    </w:p>
    <w:p>
      <w:pPr>
        <w:rPr>
          <w:rFonts w:ascii="宋体" w:hAnsi="宋体" w:cs="宋体"/>
          <w:b/>
          <w:bCs/>
          <w:color w:val="auto"/>
          <w:sz w:val="24"/>
          <w:szCs w:val="24"/>
          <w:highlight w:val="none"/>
        </w:rPr>
      </w:pPr>
      <w:r>
        <w:rPr>
          <w:rFonts w:ascii="宋体" w:hAnsi="宋体" w:cs="宋体"/>
          <w:b/>
          <w:bCs/>
          <w:color w:val="auto"/>
          <w:sz w:val="24"/>
          <w:szCs w:val="24"/>
          <w:highlight w:val="none"/>
        </w:rPr>
        <w:br w:type="page" w:clear="all"/>
      </w:r>
      <w:bookmarkEnd w:id="207"/>
      <w:r/>
      <w:r/>
    </w:p>
    <w:p>
      <w:pPr>
        <w:jc w:val="center"/>
        <w:spacing w:line="360" w:lineRule="auto"/>
        <w:rPr>
          <w:rFonts w:hint="eastAsia" w:ascii="宋体" w:hAnsi="宋体" w:eastAsia="宋体" w:cs="Times New Roman"/>
          <w:b/>
          <w:color w:val="auto"/>
          <w:sz w:val="30"/>
          <w:szCs w:val="30"/>
          <w:highlight w:val="none"/>
          <w:lang w:eastAsia="zh-CN"/>
        </w:rPr>
      </w:pPr>
      <w:r/>
      <w:bookmarkStart w:id="208" w:name="_Toc29999"/>
      <w:r/>
      <w:bookmarkStart w:id="209" w:name="_Toc23314"/>
      <w:r>
        <w:rPr>
          <w:rFonts w:hint="eastAsia" w:ascii="宋体" w:hAnsi="宋体" w:eastAsia="宋体" w:cs="Times New Roman"/>
          <w:b/>
          <w:color w:val="auto"/>
          <w:sz w:val="30"/>
          <w:szCs w:val="30"/>
          <w:highlight w:val="none"/>
        </w:rPr>
        <w:t xml:space="preserve">中小企业声明函</w:t>
      </w:r>
      <w:r>
        <w:rPr>
          <w:rFonts w:hint="eastAsia" w:ascii="宋体" w:hAnsi="宋体" w:cs="Times New Roman"/>
          <w:b/>
          <w:color w:val="auto"/>
          <w:sz w:val="30"/>
          <w:szCs w:val="30"/>
          <w:highlight w:val="none"/>
          <w:lang w:eastAsia="zh-CN"/>
        </w:rPr>
        <w:t xml:space="preserve">（</w:t>
      </w:r>
      <w:r>
        <w:rPr>
          <w:rFonts w:hint="eastAsia" w:ascii="宋体" w:hAnsi="宋体" w:cs="Times New Roman"/>
          <w:b/>
          <w:color w:val="auto"/>
          <w:sz w:val="30"/>
          <w:szCs w:val="30"/>
          <w:highlight w:val="none"/>
          <w:lang w:val="en-US" w:eastAsia="zh-CN"/>
        </w:rPr>
        <w:t xml:space="preserve">工程、服务</w:t>
      </w:r>
      <w:r>
        <w:rPr>
          <w:rFonts w:hint="eastAsia" w:ascii="宋体" w:hAnsi="宋体" w:cs="Times New Roman"/>
          <w:b/>
          <w:color w:val="auto"/>
          <w:sz w:val="30"/>
          <w:szCs w:val="30"/>
          <w:highlight w:val="none"/>
          <w:lang w:eastAsia="zh-CN"/>
        </w:rPr>
        <w:t xml:space="preserve">）</w:t>
      </w:r>
      <w:r/>
    </w:p>
    <w:p>
      <w:pPr>
        <w:ind w:firstLine="480"/>
        <w:jc w:val="both"/>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lang w:bidi="zh-CN"/>
        </w:rPr>
        <w:t xml:space="preserve">（单位名称）</w:t>
      </w:r>
      <w:r>
        <w:rPr>
          <w:rFonts w:hint="eastAsia" w:ascii="宋体" w:hAnsi="宋体" w:eastAsia="宋体" w:cs="宋体"/>
          <w:color w:val="auto"/>
          <w:sz w:val="24"/>
          <w:szCs w:val="24"/>
          <w:highlight w:val="none"/>
          <w:lang w:bidi="zh-CN"/>
        </w:rPr>
        <w:t xml:space="preserve">的</w:t>
      </w:r>
      <w:r>
        <w:rPr>
          <w:rFonts w:hint="eastAsia" w:ascii="宋体" w:hAnsi="宋体" w:eastAsia="宋体" w:cs="宋体"/>
          <w:color w:val="auto"/>
          <w:sz w:val="24"/>
          <w:szCs w:val="24"/>
          <w:highlight w:val="none"/>
          <w:u w:val="single"/>
          <w:lang w:bidi="zh-CN"/>
        </w:rPr>
        <w:t xml:space="preserve">（项目名称）</w:t>
      </w:r>
      <w:r>
        <w:rPr>
          <w:rFonts w:hint="eastAsia" w:ascii="宋体" w:hAnsi="宋体" w:eastAsia="宋体" w:cs="宋体"/>
          <w:color w:val="auto"/>
          <w:sz w:val="24"/>
          <w:szCs w:val="24"/>
          <w:highlight w:val="none"/>
          <w:lang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both"/>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其他未列明行业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val="en-US"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ind w:firstLine="480"/>
        <w:jc w:val="both"/>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其他未列明行业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val="en-US"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ind w:firstLine="480"/>
        <w:jc w:val="both"/>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w:t>
      </w:r>
      <w:r/>
    </w:p>
    <w:p>
      <w:pPr>
        <w:ind w:firstLine="480"/>
        <w:jc w:val="both"/>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480"/>
        <w:jc w:val="both"/>
        <w:keepLines w:val="0"/>
        <w:keepNext w:val="0"/>
        <w:pageBreakBefore w:val="0"/>
        <w:spacing w:line="360" w:lineRule="auto"/>
        <w:shd w:val="clear" w:color="auto" w:fill="auto"/>
        <w:widowControl w:val="off"/>
        <w:rPr>
          <w:color w:val="auto"/>
          <w:sz w:val="24"/>
          <w:highlight w:val="none"/>
        </w:rPr>
        <w:outlineLvl w:val="9"/>
      </w:pPr>
      <w:r>
        <w:rPr>
          <w:rFonts w:hint="eastAsia" w:ascii="宋体" w:hAnsi="宋体" w:eastAsia="宋体" w:cs="宋体"/>
          <w:color w:val="auto"/>
          <w:sz w:val="24"/>
          <w:szCs w:val="24"/>
          <w:highlight w:val="none"/>
          <w:lang w:bidi="zh-CN"/>
        </w:rPr>
        <w:t xml:space="preserve">本企业对上述声明内容的真实性负责。如有虚假，将依法承担相应责任。</w:t>
      </w:r>
      <w:r/>
    </w:p>
    <w:p>
      <w:pPr>
        <w:ind w:firstLine="494"/>
        <w:jc w:val="right"/>
        <w:spacing w:line="420" w:lineRule="exact"/>
        <w:shd w:val="clear" w:color="auto" w:fill="auto"/>
        <w:rPr>
          <w:rFonts w:hint="eastAsia" w:cs="宋体"/>
          <w:color w:val="auto"/>
          <w:sz w:val="24"/>
          <w:highlight w:val="none"/>
        </w:rPr>
      </w:pPr>
      <w:r>
        <w:rPr>
          <w:rFonts w:hint="eastAsia" w:cs="宋体"/>
          <w:color w:val="auto"/>
          <w:sz w:val="24"/>
          <w:highlight w:val="none"/>
        </w:rPr>
      </w:r>
      <w:r/>
    </w:p>
    <w:p>
      <w:pPr>
        <w:ind w:firstLine="0"/>
        <w:jc w:val="right"/>
        <w:keepLines w:val="0"/>
        <w:keepNext w:val="0"/>
        <w:pageBreakBefore w:val="0"/>
        <w:spacing w:line="360" w:lineRule="auto"/>
        <w:shd w:val="clear" w:color="auto" w:fill="auto"/>
        <w:widowControl w:val="off"/>
        <w:rPr>
          <w:color w:val="auto"/>
          <w:sz w:val="24"/>
          <w:highlight w:val="none"/>
          <w:lang w:val="zh-CN"/>
        </w:rPr>
      </w:pPr>
      <w:r>
        <w:rPr>
          <w:rFonts w:hint="eastAsia" w:cs="宋体"/>
          <w:color w:val="auto"/>
          <w:sz w:val="24"/>
          <w:highlight w:val="none"/>
        </w:rPr>
        <w:t xml:space="preserve">供应商：（单位盖章）</w:t>
      </w:r>
      <w:r/>
    </w:p>
    <w:p>
      <w:pPr>
        <w:ind w:firstLine="0"/>
        <w:jc w:val="right"/>
        <w:keepLines w:val="0"/>
        <w:keepNext w:val="0"/>
        <w:pageBreakBefore w:val="0"/>
        <w:spacing w:line="360" w:lineRule="auto"/>
        <w:shd w:val="clear" w:color="auto" w:fill="auto"/>
        <w:widowControl w:val="off"/>
        <w:rPr>
          <w:color w:val="auto"/>
          <w:sz w:val="24"/>
          <w:highlight w:val="none"/>
        </w:rPr>
      </w:pPr>
      <w:r>
        <w:rPr>
          <w:rFonts w:hint="eastAsia" w:cs="宋体"/>
          <w:color w:val="auto"/>
          <w:sz w:val="24"/>
          <w:highlight w:val="none"/>
        </w:rPr>
        <w:t xml:space="preserve">法定代表人或被委托受权人：（签字或盖章）</w:t>
      </w:r>
      <w:r/>
    </w:p>
    <w:p>
      <w:pPr>
        <w:ind w:firstLine="0"/>
        <w:jc w:val="right"/>
        <w:keepLines w:val="0"/>
        <w:keepNext w:val="0"/>
        <w:pageBreakBefore w:val="0"/>
        <w:spacing w:line="360" w:lineRule="auto"/>
        <w:widowControl w:val="off"/>
        <w:rPr>
          <w:rFonts w:hint="eastAsia" w:ascii="宋体" w:hAnsi="宋体" w:cs="宋体"/>
          <w:color w:val="auto"/>
          <w:sz w:val="24"/>
          <w:szCs w:val="21"/>
          <w:highlight w:val="none"/>
        </w:rPr>
      </w:pPr>
      <w:r>
        <w:rPr>
          <w:rFonts w:hint="eastAsia" w:cs="宋体"/>
          <w:color w:val="auto"/>
          <w:sz w:val="24"/>
          <w:highlight w:val="none"/>
        </w:rPr>
        <w:t xml:space="preserve">日期：</w:t>
      </w:r>
      <w:r>
        <w:rPr>
          <w:color w:val="auto"/>
          <w:sz w:val="24"/>
          <w:highlight w:val="none"/>
        </w:rPr>
        <w:t xml:space="preserve">   </w:t>
      </w:r>
      <w:r>
        <w:rPr>
          <w:rFonts w:hint="eastAsia" w:cs="宋体"/>
          <w:color w:val="auto"/>
          <w:sz w:val="24"/>
          <w:highlight w:val="none"/>
        </w:rPr>
        <w:t xml:space="preserve">年</w:t>
      </w:r>
      <w:r>
        <w:rPr>
          <w:color w:val="auto"/>
          <w:sz w:val="24"/>
          <w:highlight w:val="none"/>
        </w:rPr>
        <w:t xml:space="preserve">  </w:t>
      </w:r>
      <w:r>
        <w:rPr>
          <w:rFonts w:hint="eastAsia" w:cs="宋体"/>
          <w:color w:val="auto"/>
          <w:sz w:val="24"/>
          <w:highlight w:val="none"/>
        </w:rPr>
        <w:t xml:space="preserve">月</w:t>
      </w:r>
      <w:r>
        <w:rPr>
          <w:color w:val="auto"/>
          <w:sz w:val="24"/>
          <w:highlight w:val="none"/>
        </w:rPr>
        <w:t xml:space="preserve">  </w:t>
      </w:r>
      <w:r>
        <w:rPr>
          <w:rFonts w:hint="eastAsia" w:cs="宋体"/>
          <w:color w:val="auto"/>
          <w:sz w:val="24"/>
          <w:highlight w:val="none"/>
        </w:rPr>
        <w:t xml:space="preserve">日</w:t>
      </w:r>
      <w:r>
        <w:rPr>
          <w:rFonts w:hint="eastAsia" w:ascii="宋体" w:hAnsi="宋体" w:cs="宋体"/>
          <w:color w:val="auto"/>
          <w:sz w:val="24"/>
          <w:szCs w:val="21"/>
          <w:highlight w:val="none"/>
        </w:rPr>
        <w:t xml:space="preserve"> </w:t>
      </w:r>
      <w:r/>
    </w:p>
    <w:p>
      <w:pPr>
        <w:ind w:firstLine="480"/>
        <w:keepLines w:val="0"/>
        <w:keepNext w:val="0"/>
        <w:pageBreakBefore w:val="0"/>
        <w:spacing w:line="360" w:lineRule="auto"/>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keepLines w:val="0"/>
        <w:keepNext w:val="0"/>
        <w:pageBreakBefore w:val="0"/>
        <w:spacing w:line="360" w:lineRule="auto"/>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keepLines w:val="0"/>
        <w:keepNext w:val="0"/>
        <w:pageBreakBefore w:val="0"/>
        <w:spacing w:line="360" w:lineRule="auto"/>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注：</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1</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从业人员、营业收入、资产总额填报上一年度数据，无上一年度数据的新成立企业可不填报。</w:t>
      </w:r>
      <w:r/>
    </w:p>
    <w:p>
      <w:pPr>
        <w:ind w:firstLine="480"/>
        <w:keepLines w:val="0"/>
        <w:keepNext w:val="0"/>
        <w:pageBreakBefore w:val="0"/>
        <w:spacing w:line="360" w:lineRule="auto"/>
        <w:widowControl w:val="off"/>
        <w:rPr>
          <w:rFonts w:hint="default" w:ascii="宋体" w:hAnsi="宋体" w:eastAsia="宋体" w:cs="宋体"/>
          <w:color w:val="auto"/>
          <w:sz w:val="24"/>
          <w:szCs w:val="21"/>
          <w:highlight w:val="none"/>
          <w:lang w:val="en-US" w:eastAsia="zh-CN"/>
        </w:rPr>
      </w:pP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2</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如不提供则资格审查不得通过。</w:t>
      </w:r>
      <w:r/>
    </w:p>
    <w:p>
      <w:pP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br w:type="page" w:clear="all"/>
      </w:r>
      <w:r/>
    </w:p>
    <w:p>
      <w:pPr>
        <w:jc w:val="center"/>
        <w:spacing w:line="360" w:lineRule="auto"/>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中小企业划型标准规定</w:t>
      </w:r>
      <w:bookmarkEnd w:id="208"/>
      <w:r/>
      <w:bookmarkEnd w:id="209"/>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各行业划型标准为：</w:t>
      </w:r>
      <w:r/>
    </w:p>
    <w:p>
      <w:pPr>
        <w:ind w:firstLine="72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center"/>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bookmarkStart w:id="210" w:name="_Toc19659"/>
      <w:r/>
      <w:bookmarkStart w:id="211" w:name="_Toc20404"/>
      <w:r/>
      <w:r/>
    </w:p>
    <w:p>
      <w:pPr>
        <w:rPr>
          <w:rFonts w:hint="eastAsia" w:ascii="宋体" w:hAnsi="宋体" w:cs="宋体"/>
          <w:color w:val="auto"/>
          <w:sz w:val="24"/>
          <w:szCs w:val="21"/>
          <w:highlight w:val="none"/>
        </w:rPr>
      </w:pPr>
      <w:r>
        <w:rPr>
          <w:rFonts w:hint="eastAsia" w:ascii="宋体" w:hAnsi="宋体" w:cs="宋体"/>
          <w:color w:val="auto"/>
          <w:sz w:val="24"/>
          <w:szCs w:val="21"/>
          <w:highlight w:val="none"/>
        </w:rPr>
        <w:br w:type="page" w:clear="all"/>
      </w:r>
      <w:r/>
    </w:p>
    <w:p>
      <w:pPr>
        <w:jc w:val="center"/>
        <w:spacing w:line="360" w:lineRule="auto"/>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残疾人福利性单位声明函</w:t>
      </w:r>
      <w:bookmarkEnd w:id="210"/>
      <w:r/>
      <w:bookmarkEnd w:id="211"/>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（备注：成交供应商为残疾人福利单位的，此声明函将随成交结果同时公告，接受社会监督）</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cs="宋体"/>
          <w:color w:val="auto"/>
          <w:sz w:val="24"/>
          <w:szCs w:val="21"/>
          <w:highlight w:val="none"/>
        </w:rPr>
      </w:pPr>
      <w:r>
        <w:rPr>
          <w:rFonts w:hint="eastAsia" w:ascii="宋体" w:hAnsi="宋体" w:cs="宋体"/>
          <w:color w:val="auto"/>
          <w:spacing w:val="6"/>
          <w:sz w:val="30"/>
          <w:szCs w:val="30"/>
          <w:highlight w:val="none"/>
        </w:rPr>
        <w:t xml:space="preserve">             </w:t>
      </w:r>
      <w:r>
        <w:rPr>
          <w:rFonts w:hint="eastAsia" w:ascii="宋体" w:hAnsi="宋体" w:cs="宋体"/>
          <w:color w:val="auto"/>
          <w:sz w:val="24"/>
          <w:szCs w:val="21"/>
          <w:highlight w:val="none"/>
        </w:rPr>
        <w:t xml:space="preserve">                     供应商全称（盖章）：</w:t>
      </w:r>
      <w:r/>
    </w:p>
    <w:p>
      <w:pPr>
        <w:ind w:right="1560" w:firstLine="480"/>
        <w:jc w:val="center"/>
        <w:spacing w:line="588" w:lineRule="exact"/>
        <w:tabs>
          <w:tab w:val="left" w:pos="4860" w:leader="none"/>
        </w:tabs>
        <w:rPr>
          <w:rFonts w:ascii="宋体" w:hAnsi="宋体" w:cs="宋体"/>
          <w:color w:val="auto"/>
          <w:sz w:val="24"/>
          <w:szCs w:val="21"/>
          <w:highlight w:val="none"/>
        </w:rPr>
      </w:pPr>
      <w:r>
        <w:rPr>
          <w:rFonts w:hint="eastAsia" w:ascii="宋体" w:hAnsi="宋体" w:cs="宋体"/>
          <w:color w:val="auto"/>
          <w:sz w:val="24"/>
          <w:szCs w:val="21"/>
          <w:highlight w:val="none"/>
        </w:rPr>
        <w:t xml:space="preserve">                              日  期：</w:t>
      </w:r>
      <w:r/>
    </w:p>
    <w:p>
      <w:pPr>
        <w:ind w:right="1560" w:firstLine="480"/>
        <w:jc w:val="center"/>
        <w:spacing w:line="588" w:lineRule="exact"/>
        <w:shd w:val="clear" w:color="auto"/>
        <w:tabs>
          <w:tab w:val="left" w:pos="4860" w:leader="none"/>
        </w:tabs>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（一）安置的残疾人占本单位在职职工人数的比例不低于25%（含25%），并且安置的残疾人人数不少于10人（含10人）；</w:t>
      </w:r>
      <w:r/>
    </w:p>
    <w:p>
      <w:pPr>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（二）依法与安置的每位残疾人签订了一年以上（含一年）的劳动合同或服务协议；</w:t>
      </w:r>
      <w:r/>
    </w:p>
    <w:p>
      <w:pPr>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（三）为安置的每位残疾人按月足额缴纳了基本养老保险、基本医疗保险、失业保险、工伤保险和生育保险等社会保险费；</w:t>
      </w:r>
      <w:r/>
    </w:p>
    <w:p>
      <w:pPr>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rPr>
          <w:rFonts w:hint="eastAsia" w:ascii="宋体" w:hAnsi="宋体" w:cs="宋体"/>
          <w:b/>
          <w:bCs/>
          <w:color w:val="auto"/>
          <w:szCs w:val="21"/>
          <w:highlight w:val="none"/>
        </w:rPr>
      </w:pPr>
      <w:r>
        <w:rPr>
          <w:rFonts w:hint="eastAsia" w:ascii="宋体" w:hAnsi="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b/>
          <w:bCs/>
          <w:color w:val="auto"/>
          <w:szCs w:val="21"/>
          <w:highlight w:val="none"/>
        </w:rPr>
        <w:t xml:space="preserve"> </w:t>
      </w:r>
      <w:r>
        <w:rPr>
          <w:rFonts w:hint="eastAsia" w:ascii="宋体" w:hAnsi="宋体" w:eastAsia="宋体" w:cs="Times New Roman"/>
          <w:b/>
          <w:color w:val="auto"/>
          <w:sz w:val="30"/>
          <w:szCs w:val="30"/>
          <w:highlight w:val="none"/>
        </w:rPr>
        <w:br w:type="page" w:clear="all"/>
      </w:r>
      <w:r/>
    </w:p>
    <w:p>
      <w:pPr>
        <w:jc w:val="center"/>
        <w:spacing w:line="360" w:lineRule="auto"/>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监狱企业证明函</w:t>
      </w:r>
      <w:r/>
    </w:p>
    <w:p>
      <w:pPr>
        <w:ind w:firstLine="645"/>
        <w:jc w:val="left"/>
        <w:spacing w:before="145" w:after="145" w:line="360" w:lineRule="auto"/>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根据《财政部 司法部关于政府采购支持监狱企业发展有关问题的通知》（财库[2014]68号）的规定，</w:t>
      </w:r>
      <w:r>
        <w:rPr>
          <w:rFonts w:hint="eastAsia" w:ascii="宋体" w:hAnsi="宋体" w:cs="宋体"/>
          <w:color w:val="auto"/>
          <w:sz w:val="24"/>
          <w:szCs w:val="24"/>
          <w:highlight w:val="none"/>
          <w:u w:val="single"/>
          <w:lang w:bidi="ar"/>
        </w:rPr>
        <w:t xml:space="preserve">          （填写供应商法定全称）</w:t>
      </w:r>
      <w:r>
        <w:rPr>
          <w:rFonts w:hint="eastAsia" w:ascii="宋体" w:hAnsi="宋体" w:cs="宋体"/>
          <w:color w:val="auto"/>
          <w:sz w:val="24"/>
          <w:szCs w:val="24"/>
          <w:highlight w:val="none"/>
          <w:lang w:bidi="ar"/>
        </w:rPr>
        <w:t xml:space="preserve">为监狱企业。</w:t>
      </w:r>
      <w:r/>
    </w:p>
    <w:p>
      <w:pPr>
        <w:ind w:firstLine="645"/>
        <w:jc w:val="left"/>
        <w:spacing w:before="145" w:after="145" w:line="360" w:lineRule="auto"/>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特此声明。</w:t>
      </w:r>
      <w:r/>
    </w:p>
    <w:p>
      <w:pPr>
        <w:ind w:firstLine="1440"/>
        <w:jc w:val="left"/>
        <w:spacing w:before="145" w:after="145"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1440"/>
        <w:jc w:val="left"/>
        <w:spacing w:before="145" w:after="145" w:line="360" w:lineRule="auto"/>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省级以上监狱管理局、戒毒管理局（含新疆生产建设兵团）（盖章）：</w:t>
      </w:r>
      <w:r/>
    </w:p>
    <w:p>
      <w:pPr>
        <w:ind w:left="845" w:firstLine="630"/>
        <w:jc w:val="center"/>
        <w:spacing w:before="145" w:after="145" w:line="360" w:lineRule="auto"/>
        <w:widowControl/>
        <w:tabs>
          <w:tab w:val="left" w:pos="1050" w:leader="none"/>
        </w:tabs>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                                    日  期：</w:t>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br w:type="page" w:clear="all"/>
      </w:r>
      <w:r/>
    </w:p>
    <w:p>
      <w:pPr>
        <w:jc w:val="center"/>
        <w:spacing w:line="360" w:lineRule="auto"/>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投标函</w:t>
      </w:r>
      <w:r/>
    </w:p>
    <w:p>
      <w:pPr>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致：</w:t>
      </w:r>
      <w:r>
        <w:rPr>
          <w:rFonts w:hint="eastAsia" w:ascii="宋体" w:hAnsi="宋体"/>
          <w:color w:val="auto"/>
          <w:sz w:val="24"/>
          <w:szCs w:val="21"/>
          <w:highlight w:val="none"/>
          <w:u w:val="single"/>
        </w:rPr>
        <w:t xml:space="preserve">         （采购人）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w:t>
      </w:r>
      <w:r>
        <w:rPr>
          <w:rFonts w:hint="eastAsia" w:ascii="宋体" w:hAnsi="宋体" w:eastAsia="宋体" w:cs="Times New Roman"/>
          <w:color w:val="auto"/>
          <w:sz w:val="24"/>
          <w:szCs w:val="21"/>
          <w:highlight w:val="none"/>
        </w:rPr>
        <w:t xml:space="preserve">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lang w:eastAsia="zh-CN"/>
        </w:rPr>
        <w:t xml:space="preserve">（</w:t>
      </w:r>
      <w:r>
        <w:rPr>
          <w:rFonts w:hint="eastAsia" w:ascii="宋体" w:hAnsi="宋体" w:eastAsia="宋体" w:cs="Times New Roman"/>
          <w:color w:val="auto"/>
          <w:sz w:val="24"/>
          <w:szCs w:val="21"/>
          <w:highlight w:val="none"/>
          <w:u w:val="single"/>
          <w:lang w:val="en-US" w:eastAsia="zh-CN"/>
        </w:rPr>
        <w:t xml:space="preserve">项目编号</w:t>
      </w:r>
      <w:r>
        <w:rPr>
          <w:rFonts w:hint="eastAsia" w:ascii="宋体" w:hAnsi="宋体" w:eastAsia="宋体" w:cs="Times New Roman"/>
          <w:color w:val="auto"/>
          <w:sz w:val="24"/>
          <w:szCs w:val="21"/>
          <w:highlight w:val="none"/>
          <w:u w:val="single"/>
          <w:lang w:eastAsia="zh-CN"/>
        </w:rPr>
        <w:t xml:space="preserve">）</w:t>
      </w:r>
      <w:r>
        <w:rPr>
          <w:rFonts w:hint="eastAsia" w:ascii="宋体" w:hAnsi="宋体" w:eastAsia="宋体" w:cs="Times New Roman"/>
          <w:color w:val="auto"/>
          <w:sz w:val="24"/>
          <w:szCs w:val="21"/>
          <w:highlight w:val="none"/>
        </w:rPr>
        <w:t xml:space="preserve">号</w:t>
      </w:r>
      <w:r>
        <w:rPr>
          <w:rFonts w:hint="eastAsia" w:ascii="宋体" w:hAnsi="宋体"/>
          <w:color w:val="auto"/>
          <w:sz w:val="24"/>
          <w:szCs w:val="21"/>
          <w:highlight w:val="none"/>
        </w:rPr>
        <w:t xml:space="preserve">采购文件，正式授权下述签字人_________________(姓名)代表我方______________（</w:t>
      </w:r>
      <w:r>
        <w:rPr>
          <w:rFonts w:hint="eastAsia" w:ascii="宋体" w:hAnsi="宋体"/>
          <w:color w:val="auto"/>
          <w:sz w:val="24"/>
          <w:szCs w:val="21"/>
          <w:highlight w:val="none"/>
          <w:lang w:eastAsia="zh-CN"/>
        </w:rPr>
        <w:t xml:space="preserve">供应商</w:t>
      </w:r>
      <w:r>
        <w:rPr>
          <w:rFonts w:hint="eastAsia" w:ascii="宋体" w:hAnsi="宋体"/>
          <w:color w:val="auto"/>
          <w:sz w:val="24"/>
          <w:szCs w:val="21"/>
          <w:highlight w:val="none"/>
        </w:rPr>
        <w:t xml:space="preserve">的名称），全权处理本次项目投标的有关事宜。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1.按采购文件规定的各项要求，向买方提供所需货物（包含与货物相关的服务）。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w:t>
      </w:r>
      <w:r>
        <w:rPr>
          <w:rFonts w:hint="eastAsia" w:ascii="宋体" w:hAnsi="宋体"/>
          <w:color w:val="auto"/>
          <w:sz w:val="24"/>
          <w:szCs w:val="21"/>
          <w:highlight w:val="none"/>
          <w:lang w:eastAsia="zh-CN"/>
        </w:rPr>
        <w:t xml:space="preserve">供应商</w:t>
      </w:r>
      <w:r>
        <w:rPr>
          <w:rFonts w:hint="eastAsia" w:ascii="宋体" w:hAnsi="宋体"/>
          <w:color w:val="auto"/>
          <w:sz w:val="24"/>
          <w:szCs w:val="21"/>
          <w:highlight w:val="none"/>
        </w:rPr>
        <w:t xml:space="preserve">。</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3.我们已详细审核全部采购文件及其有效补充文件，我们知道必须放弃提出含糊不清或误解问题的权利。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w:t>
      </w:r>
      <w:r>
        <w:rPr>
          <w:rFonts w:hint="eastAsia" w:ascii="宋体" w:hAnsi="宋体"/>
          <w:color w:val="auto"/>
          <w:sz w:val="24"/>
          <w:szCs w:val="21"/>
          <w:highlight w:val="none"/>
          <w:lang w:eastAsia="zh-CN"/>
        </w:rPr>
        <w:t xml:space="preserve">响应文件</w:t>
      </w:r>
      <w:r>
        <w:rPr>
          <w:rFonts w:hint="eastAsia" w:ascii="宋体" w:hAnsi="宋体"/>
          <w:color w:val="auto"/>
          <w:sz w:val="24"/>
          <w:szCs w:val="21"/>
          <w:highlight w:val="none"/>
        </w:rPr>
        <w:t xml:space="preserve">，并在规定的投标有效期期满之前均具有约束力。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.一旦我方中标,我方将根据采购文件的规定，严格履行合同的责任和义务,并保证在采购文件规定的时间完成项目，交付买方验收、使用。</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lang w:eastAsia="zh-CN"/>
        </w:rPr>
        <w:t xml:space="preserve">供应商</w:t>
      </w:r>
      <w:r>
        <w:rPr>
          <w:rFonts w:hint="eastAsia" w:ascii="宋体" w:hAnsi="宋体"/>
          <w:color w:val="auto"/>
          <w:sz w:val="24"/>
          <w:szCs w:val="21"/>
          <w:highlight w:val="none"/>
        </w:rPr>
        <w:t xml:space="preserve">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rPr>
          <w:rFonts w:hint="eastAsia" w:ascii="宋体" w:hAnsi="宋体"/>
          <w:b/>
          <w:color w:val="auto"/>
          <w:sz w:val="30"/>
          <w:szCs w:val="30"/>
          <w:highlight w:val="none"/>
        </w:rPr>
        <w:sectPr>
          <w:footnotePr/>
          <w:endnotePr/>
          <w:type w:val="nextPage"/>
          <w:pgSz w:w="11906" w:h="16838" w:orient="portrait"/>
          <w:pgMar w:top="1134" w:right="1259" w:bottom="1134" w:left="1259" w:header="851" w:footer="907" w:gutter="0"/>
          <w:cols w:num="1" w:sep="0" w:space="720" w:equalWidth="1"/>
          <w:docGrid w:linePitch="360"/>
          <w:titlePg/>
        </w:sectPr>
      </w:pPr>
      <w:r>
        <w:rPr>
          <w:rFonts w:hint="eastAsia" w:ascii="宋体" w:hAnsi="宋体"/>
          <w:b/>
          <w:color w:val="auto"/>
          <w:sz w:val="30"/>
          <w:szCs w:val="30"/>
          <w:highlight w:val="none"/>
        </w:rPr>
        <w:br w:type="page" w:clear="all"/>
      </w:r>
      <w:r/>
    </w:p>
    <w:p>
      <w:pPr>
        <w:contextualSpacing/>
        <w:jc w:val="center"/>
        <w:spacing w:line="300" w:lineRule="auto"/>
        <w:tabs>
          <w:tab w:val="left" w:pos="1260" w:leader="none"/>
        </w:tabs>
        <w:rPr>
          <w:rFonts w:eastAsia="黑体" w:cs="宋体"/>
          <w:color w:val="auto"/>
          <w:sz w:val="28"/>
          <w:szCs w:val="20"/>
          <w:highlight w:val="none"/>
        </w:rPr>
      </w:pPr>
      <w:r>
        <w:rPr>
          <w:rFonts w:hint="eastAsia" w:ascii="宋体" w:hAnsi="宋体" w:eastAsia="宋体" w:cs="Times New Roman"/>
          <w:b/>
          <w:color w:val="auto"/>
          <w:sz w:val="30"/>
          <w:szCs w:val="30"/>
          <w:highlight w:val="none"/>
        </w:rPr>
        <w:t xml:space="preserve">投标分项报价表</w:t>
      </w:r>
      <w:r/>
    </w:p>
    <w:tbl>
      <w:tblPr>
        <w:tblStyle w:val="675"/>
        <w:tblW w:w="116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5"/>
        <w:gridCol w:w="1695"/>
        <w:gridCol w:w="2805"/>
        <w:gridCol w:w="850"/>
        <w:gridCol w:w="850"/>
        <w:gridCol w:w="1701"/>
        <w:gridCol w:w="1701"/>
        <w:gridCol w:w="850"/>
      </w:tblGrid>
      <w:tr>
        <w:trPr>
          <w:jc w:val="center"/>
          <w:trHeight w:val="567"/>
          <w:tblHeader/>
        </w:trPr>
        <w:tc>
          <w:tcPr>
            <w:tcW w:w="11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序号</w:t>
            </w:r>
            <w:r/>
          </w:p>
        </w:tc>
        <w:tc>
          <w:tcPr>
            <w:gridSpan w:val="2"/>
            <w:tcW w:w="45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项目内容</w:t>
            </w:r>
            <w:r/>
          </w:p>
        </w:tc>
        <w:tc>
          <w:tcPr>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val="en-US" w:eastAsia="zh-CN"/>
              </w:rPr>
              <w:t xml:space="preserve">数量</w:t>
            </w:r>
            <w:r/>
          </w:p>
        </w:tc>
        <w:tc>
          <w:tcPr>
            <w:tcW w:w="850" w:type="dxa"/>
            <w:vAlign w:val="center"/>
            <w:textDirection w:val="lrTb"/>
            <w:noWrap/>
          </w:tcPr>
          <w:p>
            <w:pPr>
              <w:ind w:left="0" w:right="0"/>
              <w:jc w:val="center"/>
              <w:keepLines w:val="0"/>
              <w:keepNext w:val="0"/>
              <w:spacing w:before="0" w:beforeAutospacing="0" w:after="0" w:afterAutospacing="0"/>
              <w:widowControl/>
              <w:rPr>
                <w:rFonts w:hint="default"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单位</w:t>
            </w:r>
            <w:r/>
          </w:p>
        </w:tc>
        <w:tc>
          <w:tcPr>
            <w:tcW w:w="1701" w:type="dxa"/>
            <w:vAlign w:val="center"/>
            <w:textDirection w:val="lrTb"/>
            <w:noWrap/>
          </w:tcPr>
          <w:p>
            <w:pPr>
              <w:ind w:left="0" w:right="0"/>
              <w:jc w:val="center"/>
              <w:keepLines w:val="0"/>
              <w:keepNext w:val="0"/>
              <w:spacing w:before="0" w:beforeAutospacing="0" w:after="0" w:afterAutospacing="0"/>
              <w:widowControl/>
              <w:rPr>
                <w:rFonts w:hint="default"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单价（元）</w:t>
            </w:r>
            <w:r/>
          </w:p>
        </w:tc>
        <w:tc>
          <w:tcPr>
            <w:tcW w:w="1701" w:type="dxa"/>
            <w:vAlign w:val="center"/>
            <w:textDirection w:val="lrTb"/>
            <w:noWrap/>
          </w:tcPr>
          <w:p>
            <w:pPr>
              <w:ind w:left="0" w:right="0"/>
              <w:jc w:val="center"/>
              <w:keepLines w:val="0"/>
              <w:keepNext w:val="0"/>
              <w:spacing w:before="0" w:beforeAutospacing="0" w:after="0" w:afterAutospacing="0"/>
              <w:widowControl/>
              <w:rPr>
                <w:rFonts w:hint="default"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总价（元）</w:t>
            </w:r>
            <w:r/>
          </w:p>
        </w:tc>
        <w:tc>
          <w:tcPr>
            <w:tcW w:w="8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备注</w:t>
            </w:r>
            <w:r/>
          </w:p>
        </w:tc>
      </w:tr>
      <w:tr>
        <w:trPr>
          <w:jc w:val="center"/>
          <w:trHeight w:val="482"/>
        </w:trPr>
        <w:tc>
          <w:tcPr>
            <w:tcW w:w="1155"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W w:w="169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真空井维修与耗材</w:t>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真空井本体</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1268</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个</w:t>
            </w:r>
            <w:r/>
          </w:p>
        </w:tc>
        <w:tc>
          <w:tcPr>
            <w:tcW w:w="17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69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真空阀</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69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作动器</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69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连接管</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69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真空井井盖</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w:t>
            </w:r>
            <w:r/>
          </w:p>
        </w:tc>
        <w:tc>
          <w:tcPr>
            <w:tcW w:w="169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真空站维修与耗材</w:t>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真空泵专用真空油</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个</w:t>
            </w:r>
            <w:r/>
          </w:p>
        </w:tc>
        <w:tc>
          <w:tcPr>
            <w:tcW w:w="17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69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真空泵皮带</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69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污水泵轴承</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69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抽风换气扇50W</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69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电气元件维保</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69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4G讯号传输费</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69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云端平台费用</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w:t>
            </w:r>
            <w:r/>
          </w:p>
        </w:tc>
        <w:tc>
          <w:tcPr>
            <w:tcW w:w="169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真空井及</w:t>
            </w:r>
            <w:r>
              <w:rPr>
                <w:rFonts w:hint="eastAsia" w:ascii="宋体" w:hAnsi="宋体" w:eastAsia="宋体" w:cs="宋体"/>
                <w:color w:val="auto"/>
                <w:sz w:val="24"/>
                <w:szCs w:val="24"/>
                <w:highlight w:val="none"/>
                <w:lang w:val="en-US" w:eastAsia="zh-CN"/>
              </w:rPr>
              <w:t xml:space="preserve">检查井清理</w:t>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真空井垃圾清除、清洗</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7686</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宋体" w:eastAsia="仿宋_GB2312"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个</w:t>
            </w:r>
            <w:r/>
          </w:p>
        </w:tc>
        <w:tc>
          <w:tcPr>
            <w:tcW w:w="1701"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r>
            <w:r/>
          </w:p>
        </w:tc>
        <w:tc>
          <w:tcPr>
            <w:tcW w:w="1701"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r>
            <w:r/>
          </w:p>
        </w:tc>
      </w:tr>
      <w:tr>
        <w:trPr>
          <w:jc w:val="center"/>
          <w:trHeight w:val="482"/>
        </w:trPr>
        <w:tc>
          <w:tcPr>
            <w:tcW w:w="1155"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69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检查井</w:t>
            </w:r>
            <w:r>
              <w:rPr>
                <w:rFonts w:hint="eastAsia" w:ascii="宋体" w:hAnsi="宋体" w:eastAsia="宋体" w:cs="宋体"/>
                <w:color w:val="auto"/>
                <w:sz w:val="24"/>
                <w:szCs w:val="24"/>
                <w:highlight w:val="none"/>
              </w:rPr>
              <w:t xml:space="preserve">垃圾清除、清洗</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528"/>
        </w:trPr>
        <w:tc>
          <w:tcPr>
            <w:tcW w:w="1155"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w:t>
            </w:r>
            <w:r/>
          </w:p>
        </w:tc>
        <w:tc>
          <w:tcPr>
            <w:tcW w:w="169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负压清扫器</w:t>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配件维保</w:t>
            </w:r>
            <w:r/>
          </w:p>
        </w:tc>
        <w:tc>
          <w:tcPr>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54</w:t>
            </w:r>
            <w:r/>
          </w:p>
        </w:tc>
        <w:tc>
          <w:tcPr>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个</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5</w:t>
            </w:r>
            <w:r/>
          </w:p>
        </w:tc>
        <w:tc>
          <w:tcPr>
            <w:tcW w:w="169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负压管道维修与耗材</w:t>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PEDN</w:t>
            </w:r>
            <w:r>
              <w:rPr>
                <w:rFonts w:hint="eastAsia" w:ascii="宋体" w:hAnsi="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lang w:val="en-US" w:eastAsia="zh-CN"/>
              </w:rPr>
              <w:t xml:space="preserve">-DN1</w:t>
            </w:r>
            <w:r>
              <w:rPr>
                <w:rFonts w:hint="eastAsia" w:ascii="宋体" w:hAnsi="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lang w:val="en-US" w:eastAsia="zh-CN"/>
              </w:rPr>
              <w:t xml:space="preserve">管材</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72460</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米</w:t>
            </w:r>
            <w:r/>
          </w:p>
        </w:tc>
        <w:tc>
          <w:tcPr>
            <w:tcW w:w="17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69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管道保温棉</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69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分区阀</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p>
        </w:tc>
        <w:tc>
          <w:tcPr>
            <w:tcW w:w="169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污水提升泵站</w:t>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PLC控制模块</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座</w:t>
            </w:r>
            <w:r/>
          </w:p>
        </w:tc>
        <w:tc>
          <w:tcPr>
            <w:tcW w:w="17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69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电气元件维保</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69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污水泵维修</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69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云端平台费用</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7</w:t>
            </w:r>
            <w:r/>
          </w:p>
        </w:tc>
        <w:tc>
          <w:tcPr>
            <w:tcW w:w="169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重力管道及检查井维修与耗材</w:t>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UPVC实壁管DN</w:t>
            </w:r>
            <w:r>
              <w:rPr>
                <w:rFonts w:hint="eastAsia" w:ascii="宋体" w:hAnsi="宋体" w:cs="宋体"/>
                <w:color w:val="auto"/>
                <w:sz w:val="24"/>
                <w:szCs w:val="24"/>
                <w:highlight w:val="none"/>
                <w:lang w:val="en-US" w:eastAsia="zh-CN"/>
              </w:rPr>
              <w:t xml:space="preserve">110</w:t>
            </w:r>
            <w:r>
              <w:rPr>
                <w:rFonts w:hint="eastAsia" w:ascii="宋体" w:hAnsi="宋体" w:eastAsia="宋体" w:cs="宋体"/>
                <w:color w:val="auto"/>
                <w:sz w:val="24"/>
                <w:szCs w:val="24"/>
                <w:highlight w:val="none"/>
                <w:lang w:val="en-US" w:eastAsia="zh-CN"/>
              </w:rPr>
              <w:t xml:space="preserve">-315</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51778</w:t>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米</w:t>
            </w:r>
            <w:r/>
          </w:p>
        </w:tc>
        <w:tc>
          <w:tcPr>
            <w:tcW w:w="17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482"/>
        </w:trPr>
        <w:tc>
          <w:tcPr>
            <w:tcW w:w="1155"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69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450检查井</w:t>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bl>
    <w:p>
      <w:pPr>
        <w:ind w:firstLine="480"/>
        <w:jc w:val="both"/>
        <w:keepLines w:val="0"/>
        <w:keepNext w:val="0"/>
        <w:pageBreakBefore w:val="0"/>
        <w:spacing w:before="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投标报价包含但不限于材料、设备、人员工资、职工培训费、奖金、体检费、各种加班费、夜餐费、各种社会保险与福利、食宿与交通、工具、器材、服装、安全、仓储、维修、管理费用、税费、利润等完成合同所需的一切本身和不可或缺的所有工作开支、政策性文件规定及合同包含的所有风</w:t>
      </w:r>
      <w:r>
        <w:rPr>
          <w:rFonts w:hint="eastAsia" w:ascii="宋体" w:hAnsi="宋体" w:eastAsia="宋体" w:cs="宋体"/>
          <w:color w:val="auto"/>
          <w:sz w:val="24"/>
          <w:szCs w:val="24"/>
          <w:highlight w:val="none"/>
          <w:lang w:val="en-US" w:eastAsia="zh-CN"/>
        </w:rPr>
        <w:t xml:space="preserve">险、责任等各项全部费用（并承担一切风险责任）。</w:t>
      </w:r>
      <w:r/>
    </w:p>
    <w:p>
      <w:pPr>
        <w:ind w:firstLine="480"/>
        <w:jc w:val="both"/>
        <w:keepLines w:val="0"/>
        <w:keepNext w:val="0"/>
        <w:pageBreakBefore w:val="0"/>
        <w:spacing w:before="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供应商全称（盖章）：</w:t>
      </w:r>
      <w:r/>
    </w:p>
    <w:p>
      <w:pPr>
        <w:ind w:firstLine="480"/>
        <w:jc w:val="both"/>
        <w:keepLines w:val="0"/>
        <w:keepNext w:val="0"/>
        <w:pageBreakBefore w:val="0"/>
        <w:spacing w:before="181"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  期：</w:t>
      </w:r>
      <w:r/>
    </w:p>
    <w:p>
      <w:pPr>
        <w:rPr>
          <w:rFonts w:hint="eastAsia" w:ascii="宋体" w:hAnsi="宋体"/>
          <w:color w:val="auto"/>
          <w:sz w:val="24"/>
          <w:highlight w:val="none"/>
        </w:rPr>
        <w:sectPr>
          <w:footnotePr/>
          <w:endnotePr/>
          <w:type w:val="nextPage"/>
          <w:pgSz w:w="16838" w:h="11906" w:orient="landscape"/>
          <w:pgMar w:top="1259" w:right="1134" w:bottom="1259" w:left="1134" w:header="851" w:footer="907" w:gutter="0"/>
          <w:cols w:num="1" w:sep="0" w:space="720" w:equalWidth="1"/>
          <w:docGrid w:linePitch="360"/>
          <w:titlePg/>
        </w:sectPr>
      </w:pPr>
      <w:r>
        <w:rPr>
          <w:rFonts w:hint="eastAsia" w:ascii="宋体" w:hAnsi="宋体"/>
          <w:color w:val="auto"/>
          <w:sz w:val="24"/>
          <w:highlight w:val="none"/>
        </w:rPr>
        <w:br w:type="page" w:clear="all"/>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技术要求响应及偏离表</w:t>
      </w:r>
      <w:r/>
    </w:p>
    <w:tbl>
      <w:tblPr>
        <w:tblStyle w:val="67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采购文件要求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证明</w:t>
            </w:r>
            <w:r/>
          </w:p>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材料</w:t>
            </w:r>
            <w:r/>
          </w:p>
        </w:tc>
      </w:tr>
      <w:tr>
        <w:trPr>
          <w:cantSplit/>
          <w:trHeight w:val="640"/>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示例</w:t>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1.1 日常远程检查：每日远程检查系统设备运行状态,检查数据传输系统是否正常，如发现数据有持续异常情况应立即前往站点进行检查，并按规定格式建立台账记录。</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ascii="宋体" w:hAnsi="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 </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技术要求是指对采购标的的功能和质量要求，包括性能、材料、结构、外观、安全，或者服务内容和标准等。（以上内容按照本项目</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实际情况填写）。</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行数不够，可自行添加。</w:t>
      </w:r>
      <w:r/>
    </w:p>
    <w:p>
      <w:pPr>
        <w:rPr>
          <w:rFonts w:hint="eastAsia" w:ascii="黑体" w:hAnsi="Arial" w:eastAsia="黑体"/>
          <w:color w:val="auto"/>
          <w:sz w:val="32"/>
          <w:szCs w:val="21"/>
          <w:highlight w:val="none"/>
        </w:rPr>
      </w:pPr>
      <w:r>
        <w:rPr>
          <w:rFonts w:hint="eastAsia" w:ascii="宋体" w:hAnsi="宋体"/>
          <w:color w:val="auto"/>
          <w:sz w:val="24"/>
          <w:szCs w:val="24"/>
          <w:highlight w:val="none"/>
        </w:rPr>
        <w:br w:type="page" w:clear="all"/>
      </w:r>
      <w:r/>
    </w:p>
    <w:p>
      <w:pPr>
        <w:jc w:val="center"/>
        <w:rPr>
          <w:rFonts w:hint="eastAsia" w:ascii="宋体" w:hAnsi="宋体"/>
          <w:b/>
          <w:color w:val="auto"/>
          <w:sz w:val="30"/>
          <w:szCs w:val="30"/>
          <w:highlight w:val="none"/>
        </w:rPr>
      </w:pPr>
      <w:r/>
      <w:bookmarkStart w:id="212" w:name="_Hlt26955054"/>
      <w:r/>
      <w:bookmarkEnd w:id="212"/>
      <w:r>
        <w:rPr>
          <w:rFonts w:hint="eastAsia" w:ascii="宋体" w:hAnsi="宋体"/>
          <w:b/>
          <w:color w:val="auto"/>
          <w:sz w:val="30"/>
          <w:szCs w:val="30"/>
          <w:highlight w:val="none"/>
        </w:rPr>
        <w:t xml:space="preserve">商务要求响应及偏离表</w:t>
      </w:r>
      <w:r/>
    </w:p>
    <w:tbl>
      <w:tblPr>
        <w:tblStyle w:val="67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bookmarkStart w:id="213" w:name="_Hlt26782999"/>
            <w:r/>
            <w:bookmarkEnd w:id="213"/>
            <w:r/>
            <w:bookmarkStart w:id="214" w:name="_Hlt26671343"/>
            <w:r/>
            <w:bookmarkEnd w:id="214"/>
            <w:r/>
            <w:bookmarkStart w:id="215" w:name="_Hlt26955056"/>
            <w:r/>
            <w:bookmarkEnd w:id="215"/>
            <w:r/>
            <w:bookmarkStart w:id="216" w:name="_Hlt26609391"/>
            <w:r/>
            <w:bookmarkEnd w:id="216"/>
            <w:r/>
            <w:bookmarkStart w:id="217" w:name="_Hlt24879081"/>
            <w:r/>
            <w:bookmarkEnd w:id="217"/>
            <w:r/>
            <w:bookmarkStart w:id="218" w:name="_Hlt26955064"/>
            <w:r/>
            <w:bookmarkEnd w:id="218"/>
            <w:r/>
            <w:bookmarkStart w:id="219" w:name="_Hlt26580838"/>
            <w:r/>
            <w:bookmarkEnd w:id="219"/>
            <w:r/>
            <w:bookmarkStart w:id="220" w:name="_Hlt26671372"/>
            <w:r/>
            <w:bookmarkEnd w:id="220"/>
            <w:r>
              <w:rPr>
                <w:rFonts w:hint="eastAsia" w:ascii="宋体" w:hAnsi="宋体"/>
                <w:color w:val="auto"/>
                <w:sz w:val="24"/>
                <w:szCs w:val="24"/>
                <w:highlight w:val="none"/>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采购文件要求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证明</w:t>
            </w:r>
            <w:r/>
          </w:p>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ascii="宋体" w:hAnsi="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 </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商务要求是指取得采购标的的时间、地点、财务和服务要求，包括交付（实施）的时间（期限）和地点（范围）付款条件（进度和方式），包装和运输，售后服务，保险等（以上内容按照本项目</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实际情况填写）。</w:t>
      </w:r>
      <w:r/>
    </w:p>
    <w:p>
      <w:pPr>
        <w:numPr>
          <w:ilvl w:val="0"/>
          <w:numId w:val="0"/>
        </w:numPr>
        <w:spacing w:line="360" w:lineRule="auto"/>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（2）</w:t>
      </w:r>
      <w:r>
        <w:rPr>
          <w:rFonts w:hint="eastAsia" w:ascii="宋体" w:hAnsi="宋体"/>
          <w:color w:val="auto"/>
          <w:sz w:val="24"/>
          <w:szCs w:val="24"/>
          <w:highlight w:val="none"/>
        </w:rPr>
        <w:t xml:space="preserve">行数不够，可自行添加。</w:t>
      </w:r>
      <w:bookmarkStart w:id="221" w:name="_Hlt26609389"/>
      <w:r/>
      <w:bookmarkEnd w:id="221"/>
      <w:r/>
      <w:bookmarkStart w:id="222" w:name="_格式2__法定代表人授权书"/>
      <w:r/>
      <w:bookmarkEnd w:id="222"/>
      <w:r/>
      <w:bookmarkStart w:id="223" w:name="_Hlt26671374"/>
      <w:r/>
      <w:bookmarkEnd w:id="223"/>
      <w:r/>
      <w:bookmarkStart w:id="224" w:name="_Hlt26955066"/>
      <w:r/>
      <w:bookmarkEnd w:id="224"/>
      <w:r/>
      <w:r/>
    </w:p>
    <w:p>
      <w:pPr>
        <w:pStyle w:val="694"/>
        <w:numPr>
          <w:ilvl w:val="0"/>
          <w:numId w:val="0"/>
        </w:numPr>
        <w:jc w:val="both"/>
        <w:spacing w:line="360" w:lineRule="auto"/>
        <w:shd w:val="clear" w:color="auto"/>
        <w:widowControl w:val="off"/>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both"/>
        <w:keepLines w:val="0"/>
        <w:keepNext w:val="0"/>
        <w:pageBreakBefore w:val="0"/>
        <w:spacing w:line="360" w:lineRule="auto"/>
        <w:shd w:val="clear" w:color="auto"/>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质疑函范本</w:t>
      </w:r>
      <w:r/>
    </w:p>
    <w:p>
      <w:pPr>
        <w:spacing w:before="290"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一、质疑供应商基本信息</w:t>
      </w:r>
      <w:r/>
    </w:p>
    <w:p>
      <w:pPr>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质疑供应商：</w:t>
      </w:r>
      <w:r>
        <w:rPr>
          <w:rFonts w:hint="eastAsia" w:ascii="宋体" w:hAnsi="宋体" w:cs="宋体"/>
          <w:color w:val="auto"/>
          <w:sz w:val="24"/>
          <w:szCs w:val="24"/>
          <w:highlight w:val="none"/>
          <w:u w:val="single"/>
        </w:rPr>
        <w:t xml:space="preserve">                                                              </w:t>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授权代表：</w:t>
      </w:r>
      <w:r>
        <w:rPr>
          <w:rFonts w:hint="eastAsia" w:ascii="宋体" w:hAnsi="宋体" w:cs="宋体"/>
          <w:color w:val="auto"/>
          <w:sz w:val="24"/>
          <w:szCs w:val="24"/>
          <w:highlight w:val="none"/>
          <w:u w:val="single"/>
        </w:rPr>
        <w:t xml:space="preserve">                                                                 </w:t>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二、质疑项目基本情况</w:t>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质疑项目的名称：</w:t>
      </w:r>
      <w:r>
        <w:rPr>
          <w:rFonts w:hint="eastAsia" w:ascii="宋体" w:hAnsi="宋体" w:cs="宋体"/>
          <w:color w:val="auto"/>
          <w:sz w:val="24"/>
          <w:szCs w:val="24"/>
          <w:highlight w:val="none"/>
          <w:u w:val="single"/>
        </w:rPr>
        <w:t xml:space="preserve">                                                          </w:t>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包号：</w:t>
      </w:r>
      <w:r>
        <w:rPr>
          <w:rFonts w:hint="eastAsia" w:ascii="宋体" w:hAnsi="宋体" w:cs="宋体"/>
          <w:color w:val="auto"/>
          <w:sz w:val="24"/>
          <w:szCs w:val="24"/>
          <w:highlight w:val="none"/>
          <w:u w:val="single"/>
        </w:rPr>
        <w:t xml:space="preserve">                           </w:t>
      </w:r>
      <w:r/>
    </w:p>
    <w:p>
      <w:pPr>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采购人名称：</w:t>
      </w:r>
      <w:r>
        <w:rPr>
          <w:rFonts w:hint="eastAsia" w:ascii="宋体" w:hAnsi="宋体" w:cs="宋体"/>
          <w:color w:val="auto"/>
          <w:sz w:val="24"/>
          <w:szCs w:val="24"/>
          <w:highlight w:val="none"/>
          <w:u w:val="single"/>
        </w:rPr>
        <w:t xml:space="preserve">                                                              </w:t>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采购文件获取日期：</w:t>
      </w:r>
      <w:r>
        <w:rPr>
          <w:rFonts w:hint="eastAsia" w:ascii="宋体" w:hAnsi="宋体" w:cs="宋体"/>
          <w:color w:val="auto"/>
          <w:sz w:val="24"/>
          <w:szCs w:val="24"/>
          <w:highlight w:val="none"/>
          <w:u w:val="single"/>
        </w:rPr>
        <w:t xml:space="preserve">                                                        </w:t>
      </w:r>
      <w:r/>
    </w:p>
    <w:p>
      <w:pPr>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三、质疑事项具体内容</w:t>
      </w:r>
      <w:r/>
    </w:p>
    <w:p>
      <w:pPr>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质疑事项1：</w:t>
      </w:r>
      <w:r>
        <w:rPr>
          <w:rFonts w:hint="eastAsia" w:ascii="宋体" w:hAnsi="宋体" w:cs="宋体"/>
          <w:color w:val="auto"/>
          <w:sz w:val="24"/>
          <w:szCs w:val="24"/>
          <w:highlight w:val="none"/>
          <w:u w:val="single"/>
        </w:rPr>
        <w:t xml:space="preserve">                                                              </w:t>
      </w:r>
      <w:r/>
    </w:p>
    <w:p>
      <w:pPr>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事实依据：</w:t>
      </w:r>
      <w:r>
        <w:rPr>
          <w:rFonts w:hint="eastAsia" w:ascii="宋体" w:hAnsi="宋体" w:cs="宋体"/>
          <w:color w:val="auto"/>
          <w:sz w:val="24"/>
          <w:szCs w:val="24"/>
          <w:highlight w:val="none"/>
          <w:u w:val="single"/>
        </w:rPr>
        <w:t xml:space="preserve">                                                                </w:t>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p>
    <w:p>
      <w:pPr>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法律依据：</w:t>
      </w:r>
      <w:r>
        <w:rPr>
          <w:rFonts w:hint="eastAsia" w:ascii="宋体" w:hAnsi="宋体" w:cs="宋体"/>
          <w:color w:val="auto"/>
          <w:sz w:val="24"/>
          <w:szCs w:val="24"/>
          <w:highlight w:val="none"/>
          <w:u w:val="single"/>
        </w:rPr>
        <w:t xml:space="preserve">                                                                 </w:t>
      </w:r>
      <w:r/>
    </w:p>
    <w:p>
      <w:pPr>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r/>
    </w:p>
    <w:p>
      <w:pPr>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质疑事项2</w:t>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四、与质疑事项相关的质疑请求</w:t>
      </w:r>
      <w:r/>
    </w:p>
    <w:p>
      <w:pPr>
        <w:spacing w:line="360" w:lineRule="auto"/>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请求：</w:t>
      </w:r>
      <w:r>
        <w:rPr>
          <w:rFonts w:hint="eastAsia" w:ascii="宋体" w:hAnsi="宋体" w:cs="宋体"/>
          <w:color w:val="auto"/>
          <w:sz w:val="24"/>
          <w:szCs w:val="24"/>
          <w:highlight w:val="none"/>
          <w:u w:val="single"/>
        </w:rPr>
        <w:t xml:space="preserve">                                                                     </w:t>
      </w:r>
      <w:r/>
    </w:p>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签字(签章)：                   公章：                      </w:t>
      </w:r>
      <w:r/>
    </w:p>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w:t>
      </w:r>
      <w:r/>
    </w:p>
    <w:p>
      <w:pPr>
        <w:spacing w:line="40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质疑函制作说明：</w:t>
      </w:r>
      <w:r/>
    </w:p>
    <w:p>
      <w:pPr>
        <w:ind w:firstLine="480"/>
        <w:jc w:val="left"/>
        <w:spacing w:line="400" w:lineRule="exac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1.供应商提出质疑时，应提交质疑函和必要的证明材料。</w:t>
      </w:r>
      <w:r/>
    </w:p>
    <w:p>
      <w:pPr>
        <w:ind w:firstLine="480"/>
        <w:jc w:val="left"/>
        <w:spacing w:line="400" w:lineRule="exac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3.质疑供应商若对项目的某一分包进行质疑，质疑函中应列明具体分包号。</w:t>
      </w:r>
      <w:r/>
    </w:p>
    <w:p>
      <w:pPr>
        <w:ind w:firstLine="480"/>
        <w:jc w:val="left"/>
        <w:spacing w:line="400" w:lineRule="exac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4.质疑函的质疑事项应具体、明确，并有必要的事实依据和法律依据。</w:t>
      </w:r>
      <w:r/>
    </w:p>
    <w:p>
      <w:pPr>
        <w:ind w:firstLine="480"/>
        <w:jc w:val="left"/>
        <w:spacing w:line="400" w:lineRule="exac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5.质疑函的质疑请求应与质疑事项相关。</w:t>
      </w:r>
      <w:r/>
    </w:p>
    <w:p>
      <w:pPr>
        <w:ind w:firstLine="480"/>
        <w:jc w:val="left"/>
        <w:spacing w:line="400" w:lineRule="exac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2"/>
        <w:jc w:val="left"/>
        <w:spacing w:before="132" w:after="378"/>
        <w:shd w:val="clear" w:color="auto"/>
        <w:widowControl/>
        <w:rPr>
          <w:rFonts w:ascii="宋体" w:hAnsi="宋体" w:cs="宋体"/>
          <w:b/>
          <w:bCs/>
          <w:color w:val="auto"/>
          <w:sz w:val="24"/>
          <w:szCs w:val="24"/>
          <w:highlight w:val="none"/>
        </w:rPr>
      </w:pPr>
      <w:r>
        <w:rPr>
          <w:rFonts w:hint="eastAsia" w:ascii="宋体" w:hAnsi="宋体" w:cs="宋体"/>
          <w:b/>
          <w:bCs/>
          <w:color w:val="auto"/>
          <w:sz w:val="24"/>
          <w:szCs w:val="20"/>
          <w:highlight w:val="none"/>
        </w:rPr>
        <w:t xml:space="preserve">特别提醒：</w:t>
      </w:r>
      <w:r>
        <w:rPr>
          <w:rFonts w:hint="eastAsia" w:ascii="宋体" w:hAnsi="宋体" w:cs="宋体"/>
          <w:b/>
          <w:bCs/>
          <w:color w:val="auto"/>
          <w:sz w:val="24"/>
          <w:szCs w:val="24"/>
          <w:highlight w:val="none"/>
          <w:shd w:val="clear" w:color="auto" w:fill="ffffff"/>
        </w:rPr>
        <w:t xml:space="preserve">供应商必须在法定质疑期内一次性提出针对同一采购程序环节的质疑。</w:t>
      </w:r>
      <w:r/>
    </w:p>
    <w:p>
      <w:pPr>
        <w:ind w:firstLine="160"/>
        <w:shd w:val="clear" w:color="auto"/>
        <w:rPr>
          <w:rFonts w:ascii="仿宋_GB2312" w:eastAsia="仿宋_GB2312"/>
          <w:color w:val="auto"/>
          <w:sz w:val="32"/>
          <w:highlight w:val="none"/>
        </w:rPr>
      </w:pPr>
      <w:r>
        <w:rPr>
          <w:rFonts w:hint="eastAsia" w:ascii="仿宋_GB2312" w:eastAsia="仿宋_GB2312"/>
          <w:color w:val="auto"/>
          <w:sz w:val="32"/>
          <w:highlight w:val="none"/>
        </w:rPr>
        <w:t xml:space="preserve">附件：</w:t>
      </w:r>
      <w:r/>
    </w:p>
    <w:p>
      <w:pPr>
        <w:ind w:firstLine="240"/>
        <w:jc w:val="center"/>
        <w:spacing w:line="360" w:lineRule="auto"/>
        <w:shd w:val="clear" w:color="auto"/>
        <w:rPr>
          <w:rFonts w:ascii="宋体" w:hAnsi="宋体" w:cs="宋体"/>
          <w:color w:val="auto"/>
          <w:sz w:val="24"/>
          <w:szCs w:val="21"/>
          <w:highlight w:val="none"/>
        </w:rPr>
      </w:pPr>
      <w:r>
        <w:rPr>
          <w:rFonts w:hint="eastAsia" w:ascii="宋体" w:hAnsi="宋体" w:cs="宋体"/>
          <w:color w:val="auto"/>
          <w:sz w:val="24"/>
          <w:szCs w:val="21"/>
          <w:highlight w:val="none"/>
        </w:rPr>
        <w:t xml:space="preserve">办理政采贷和</w:t>
      </w:r>
      <w:r>
        <w:rPr>
          <w:rFonts w:ascii="宋体" w:hAnsi="宋体" w:cs="宋体"/>
          <w:color w:val="auto"/>
          <w:sz w:val="24"/>
          <w:szCs w:val="21"/>
          <w:highlight w:val="none"/>
        </w:rPr>
        <w:t xml:space="preserve">履</w:t>
      </w:r>
      <w:r>
        <w:rPr>
          <w:rFonts w:hint="eastAsia" w:ascii="宋体" w:hAnsi="宋体" w:cs="宋体"/>
          <w:color w:val="auto"/>
          <w:sz w:val="24"/>
          <w:szCs w:val="21"/>
          <w:highlight w:val="none"/>
        </w:rPr>
        <w:t xml:space="preserve">约保函（</w:t>
      </w:r>
      <w:r>
        <w:rPr>
          <w:rFonts w:ascii="宋体" w:hAnsi="宋体" w:cs="宋体"/>
          <w:color w:val="auto"/>
          <w:sz w:val="24"/>
          <w:szCs w:val="21"/>
          <w:highlight w:val="none"/>
        </w:rPr>
        <w:t xml:space="preserve">保险</w:t>
      </w:r>
      <w:r>
        <w:rPr>
          <w:rFonts w:hint="eastAsia" w:ascii="宋体" w:hAnsi="宋体" w:cs="宋体"/>
          <w:color w:val="auto"/>
          <w:sz w:val="24"/>
          <w:szCs w:val="21"/>
          <w:highlight w:val="none"/>
        </w:rPr>
        <w:t xml:space="preserve">）告知函</w:t>
      </w:r>
      <w:r/>
    </w:p>
    <w:p>
      <w:pPr>
        <w:ind w:firstLine="240"/>
        <w:spacing w:line="360" w:lineRule="auto"/>
        <w:shd w:val="clear" w:color="auto"/>
        <w:rPr>
          <w:rFonts w:ascii="宋体" w:hAnsi="宋体" w:cs="宋体"/>
          <w:color w:val="auto"/>
          <w:sz w:val="24"/>
          <w:szCs w:val="21"/>
          <w:highlight w:val="none"/>
        </w:rPr>
      </w:pPr>
      <w:r>
        <w:rPr>
          <w:rFonts w:ascii="宋体" w:hAnsi="宋体" w:cs="宋体"/>
          <w:color w:val="auto"/>
          <w:sz w:val="24"/>
          <w:szCs w:val="21"/>
          <w:highlight w:val="none"/>
        </w:rPr>
      </w:r>
      <w:r/>
    </w:p>
    <w:p>
      <w:pPr>
        <w:ind w:firstLine="240"/>
        <w:spacing w:line="360" w:lineRule="auto"/>
        <w:shd w:val="clear" w:color="auto"/>
        <w:rPr>
          <w:rFonts w:ascii="宋体" w:hAnsi="宋体" w:cs="宋体"/>
          <w:color w:val="auto"/>
          <w:sz w:val="24"/>
          <w:szCs w:val="21"/>
          <w:highlight w:val="none"/>
        </w:rPr>
      </w:pPr>
      <w:r>
        <w:rPr>
          <w:rFonts w:hint="eastAsia" w:ascii="宋体" w:hAnsi="宋体" w:cs="宋体"/>
          <w:color w:val="auto"/>
          <w:sz w:val="24"/>
          <w:szCs w:val="21"/>
          <w:highlight w:val="none"/>
        </w:rPr>
        <w:t xml:space="preserve">各政府采购供应商：</w:t>
      </w:r>
      <w:r/>
    </w:p>
    <w:p>
      <w:pPr>
        <w:ind w:firstLine="240"/>
        <w:spacing w:line="360" w:lineRule="auto"/>
        <w:shd w:val="clear" w:color="auto"/>
        <w:rPr>
          <w:rFonts w:ascii="宋体" w:hAnsi="宋体" w:cs="宋体"/>
          <w:color w:val="auto"/>
          <w:sz w:val="24"/>
          <w:szCs w:val="21"/>
          <w:highlight w:val="none"/>
        </w:rPr>
      </w:pPr>
      <w:r>
        <w:rPr>
          <w:rFonts w:hint="eastAsia" w:ascii="宋体" w:hAnsi="宋体" w:cs="宋体"/>
          <w:color w:val="auto"/>
          <w:sz w:val="24"/>
          <w:szCs w:val="21"/>
          <w:highlight w:val="none"/>
        </w:rPr>
        <w:t xml:space="preserve">欢迎贵公司参与南通市政府采购活动！</w:t>
      </w:r>
      <w:r/>
    </w:p>
    <w:p>
      <w:pPr>
        <w:ind w:firstLine="480"/>
        <w:spacing w:line="360" w:lineRule="auto"/>
        <w:shd w:val="clear" w:color="auto"/>
        <w:rPr>
          <w:rFonts w:ascii="宋体" w:hAnsi="宋体" w:cs="宋体"/>
          <w:color w:val="auto"/>
          <w:sz w:val="24"/>
          <w:szCs w:val="21"/>
          <w:highlight w:val="none"/>
        </w:rPr>
      </w:pPr>
      <w:r>
        <w:rPr>
          <w:rFonts w:hint="eastAsia" w:ascii="宋体" w:hAnsi="宋体" w:cs="宋体"/>
          <w:color w:val="auto"/>
          <w:sz w:val="24"/>
          <w:szCs w:val="21"/>
          <w:highlight w:val="none"/>
        </w:rPr>
        <w:t xml:space="preserve">政府采购线上合同信用融资和</w:t>
      </w:r>
      <w:r>
        <w:rPr>
          <w:rFonts w:ascii="宋体" w:hAnsi="宋体" w:cs="宋体"/>
          <w:color w:val="auto"/>
          <w:sz w:val="24"/>
          <w:szCs w:val="21"/>
          <w:highlight w:val="none"/>
        </w:rPr>
        <w:t xml:space="preserve">履</w:t>
      </w:r>
      <w:r>
        <w:rPr>
          <w:rFonts w:hint="eastAsia" w:ascii="宋体" w:hAnsi="宋体" w:cs="宋体"/>
          <w:color w:val="auto"/>
          <w:sz w:val="24"/>
          <w:szCs w:val="21"/>
          <w:highlight w:val="none"/>
        </w:rPr>
        <w:t xml:space="preserve">约保函（</w:t>
      </w:r>
      <w:r>
        <w:rPr>
          <w:rFonts w:ascii="宋体" w:hAnsi="宋体" w:cs="宋体"/>
          <w:color w:val="auto"/>
          <w:sz w:val="24"/>
          <w:szCs w:val="21"/>
          <w:highlight w:val="none"/>
        </w:rPr>
        <w:t xml:space="preserve">保险</w:t>
      </w:r>
      <w:r>
        <w:rPr>
          <w:rFonts w:hint="eastAsia" w:ascii="宋体" w:hAnsi="宋体" w:cs="宋体"/>
          <w:color w:val="auto"/>
          <w:sz w:val="24"/>
          <w:szCs w:val="21"/>
          <w:highlight w:val="none"/>
        </w:rPr>
        <w:t xml:space="preserve">）是支持企业发展，针对参与政府采购活动的企业融资难、现金流不足等问题推出的一项服务举措。</w:t>
      </w:r>
      <w:r/>
    </w:p>
    <w:p>
      <w:pPr>
        <w:ind w:firstLine="480"/>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贵公司若成为本次政府采购项目的中标（成交）供应商，可自愿选择</w:t>
      </w:r>
      <w:r>
        <w:rPr>
          <w:rFonts w:ascii="宋体" w:hAnsi="宋体" w:cs="宋体"/>
          <w:color w:val="auto"/>
          <w:sz w:val="24"/>
          <w:szCs w:val="21"/>
          <w:highlight w:val="none"/>
        </w:rPr>
        <w:t xml:space="preserve">履</w:t>
      </w:r>
      <w:r>
        <w:rPr>
          <w:rFonts w:hint="eastAsia" w:ascii="宋体" w:hAnsi="宋体" w:cs="宋体"/>
          <w:color w:val="auto"/>
          <w:sz w:val="24"/>
          <w:szCs w:val="21"/>
          <w:highlight w:val="none"/>
        </w:rPr>
        <w:t xml:space="preserve">约保函（</w:t>
      </w:r>
      <w:r>
        <w:rPr>
          <w:rFonts w:ascii="宋体" w:hAnsi="宋体" w:cs="宋体"/>
          <w:color w:val="auto"/>
          <w:sz w:val="24"/>
          <w:szCs w:val="21"/>
          <w:highlight w:val="none"/>
        </w:rPr>
        <w:t xml:space="preserve">保险</w:t>
      </w:r>
      <w:r>
        <w:rPr>
          <w:rFonts w:hint="eastAsia" w:ascii="宋体" w:hAnsi="宋体" w:cs="宋体"/>
          <w:color w:val="auto"/>
          <w:sz w:val="24"/>
          <w:szCs w:val="21"/>
          <w:highlight w:val="none"/>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240"/>
        <w:spacing w:line="360" w:lineRule="auto"/>
        <w:rPr>
          <w:rFonts w:ascii="宋体" w:hAnsi="宋体" w:cs="宋体"/>
          <w:color w:val="auto"/>
          <w:sz w:val="24"/>
          <w:szCs w:val="21"/>
          <w:highlight w:val="none"/>
        </w:rPr>
      </w:pPr>
      <w:r>
        <w:rPr>
          <w:rFonts w:ascii="宋体" w:hAnsi="宋体" w:cs="宋体"/>
          <w:color w:val="auto"/>
          <w:sz w:val="24"/>
          <w:szCs w:val="21"/>
          <w:highlight w:val="none"/>
        </w:rPr>
      </w:r>
      <w:r/>
    </w:p>
    <w:sectPr>
      <w:footnotePr/>
      <w:endnotePr/>
      <w:type w:val="nextPage"/>
      <w:pgSz w:w="11906" w:h="16838" w:orient="portrait"/>
      <w:pgMar w:top="1134" w:right="1259" w:bottom="1134"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DFKai-SB">
    <w:panose1 w:val="03050502040202030202"/>
  </w:font>
  <w:font w:name="仿宋">
    <w:panose1 w:val="02010609060101010101"/>
  </w:font>
  <w:font w:name="等线 Light">
    <w:panose1 w:val="02010600030101010101"/>
  </w:font>
  <w:font w:name="方正楷体_GBK">
    <w:panose1 w:val="020B0503020202020204"/>
  </w:font>
  <w:font w:name="方正黑体_GBK">
    <w:panose1 w:val="020B0503020202020204"/>
  </w:font>
  <w:font w:name="Book Antiqua">
    <w:panose1 w:val="02040602050305030304"/>
  </w:font>
  <w:font w:name="Tahoma">
    <w:panose1 w:val="020B0604030504040204"/>
  </w:font>
  <w:font w:name="Courier New">
    <w:panose1 w:val="02070309020205020404"/>
  </w:font>
  <w:font w:name="楷体_GB2312">
    <w:panose1 w:val="02010609060101010101"/>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Calibri-Bold">
    <w:panose1 w:val="020F0502020204030204"/>
  </w:font>
  <w:font w:name="Arial Unicode MS">
    <w:panose1 w:val="020B0604020202020204"/>
  </w:font>
  <w:font w:name="Arial">
    <w:panose1 w:val="020B0604020202020204"/>
  </w:font>
  <w:font w:name="Calibri">
    <w:panose1 w:val="020F0502020204030204"/>
  </w:font>
  <w:font w:name="微软雅黑">
    <w:panose1 w:val="020B0503020204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140" w:hanging="72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3"/>
      <w:isLgl w:val="false"/>
      <w:suff w:val="nothing"/>
      <w:lvlText w:val=""/>
      <w:lvlJc w:val="left"/>
      <w:pPr>
        <w:ind w:left="0" w:firstLine="0"/>
      </w:pPr>
      <w:rPr>
        <w:rFonts w:hint="eastAsia"/>
      </w:rPr>
    </w:lvl>
    <w:lvl w:ilvl="6">
      <w:start w:val="1"/>
      <w:numFmt w:val="decimal"/>
      <w:pStyle w:val="854"/>
      <w:isLgl w:val="false"/>
      <w:suff w:val="nothing"/>
      <w:lvlText w:val=""/>
      <w:lvlJc w:val="left"/>
      <w:pPr>
        <w:ind w:left="0" w:firstLine="0"/>
      </w:pPr>
      <w:rPr>
        <w:rFonts w:hint="eastAsia"/>
      </w:rPr>
    </w:lvl>
    <w:lvl w:ilvl="7">
      <w:start w:val="1"/>
      <w:numFmt w:val="decimal"/>
      <w:pStyle w:val="855"/>
      <w:isLgl w:val="false"/>
      <w:suff w:val="nothing"/>
      <w:lvlText w:val=""/>
      <w:lvlJc w:val="left"/>
      <w:pPr>
        <w:ind w:left="0" w:firstLine="0"/>
      </w:pPr>
      <w:rPr>
        <w:rFonts w:hint="eastAsia"/>
      </w:rPr>
    </w:lvl>
    <w:lvl w:ilvl="8">
      <w:start w:val="1"/>
      <w:numFmt w:val="decimal"/>
      <w:pStyle w:val="856"/>
      <w:isLgl w:val="false"/>
      <w:suff w:val="nothing"/>
      <w:lvlText w:val=""/>
      <w:lvlJc w:val="left"/>
      <w:pPr>
        <w:ind w:left="0" w:firstLine="0"/>
      </w:pPr>
      <w:rPr>
        <w:rFonts w:hint="eastAsia"/>
      </w:rPr>
    </w:lvl>
  </w:abstractNum>
  <w:abstractNum w:abstractNumId="4">
    <w:multiLevelType w:val="hybridMultilevel"/>
    <w:lvl w:ilvl="0">
      <w:start w:val="1"/>
      <w:numFmt w:val="decimal"/>
      <w:pStyle w:val="9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link w:val="966"/>
    <w:uiPriority w:val="0"/>
    <w:qFormat/>
    <w:pPr>
      <w:jc w:val="both"/>
      <w:widowControl w:val="off"/>
    </w:pPr>
    <w:rPr>
      <w:rFonts w:hint="default" w:ascii="Calibri" w:hAnsi="Calibri" w:eastAsia="宋体" w:cs="Times New Roman"/>
      <w:sz w:val="21"/>
      <w:szCs w:val="22"/>
      <w:lang w:val="en-US" w:eastAsia="zh-CN" w:bidi="ar-SA"/>
    </w:rPr>
  </w:style>
  <w:style w:type="paragraph" w:styleId="665">
    <w:name w:val="Heading 1"/>
    <w:basedOn w:val="664"/>
    <w:next w:val="664"/>
    <w:link w:val="699"/>
    <w:uiPriority w:val="9"/>
    <w:qFormat/>
    <w:pPr>
      <w:keepLines/>
      <w:keepNext/>
      <w:spacing w:before="480" w:after="200"/>
      <w:outlineLvl w:val="0"/>
    </w:pPr>
    <w:rPr>
      <w:rFonts w:ascii="Arial" w:hAnsi="Arial" w:eastAsia="Arial" w:cs="Arial"/>
      <w:sz w:val="40"/>
      <w:szCs w:val="40"/>
    </w:rPr>
  </w:style>
  <w:style w:type="paragraph" w:styleId="666">
    <w:name w:val="Heading 2"/>
    <w:basedOn w:val="664"/>
    <w:next w:val="664"/>
    <w:link w:val="700"/>
    <w:uiPriority w:val="9"/>
    <w:unhideWhenUsed/>
    <w:qFormat/>
    <w:pPr>
      <w:keepLines/>
      <w:keepNext/>
      <w:spacing w:before="360" w:after="200"/>
      <w:outlineLvl w:val="1"/>
    </w:pPr>
    <w:rPr>
      <w:rFonts w:ascii="Arial" w:hAnsi="Arial" w:eastAsia="Arial" w:cs="Arial"/>
      <w:sz w:val="34"/>
    </w:rPr>
  </w:style>
  <w:style w:type="paragraph" w:styleId="667">
    <w:name w:val="Heading 3"/>
    <w:basedOn w:val="664"/>
    <w:next w:val="664"/>
    <w:link w:val="701"/>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link w:val="702"/>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link w:val="703"/>
    <w:uiPriority w:val="9"/>
    <w:unhideWhenUsed/>
    <w:qFormat/>
    <w:pPr>
      <w:keepLines/>
      <w:keepNext/>
      <w:spacing w:before="320" w:after="200"/>
      <w:outlineLvl w:val="4"/>
    </w:pPr>
    <w:rPr>
      <w:rFonts w:ascii="Arial" w:hAnsi="Arial" w:eastAsia="Arial" w:cs="Arial"/>
      <w:b/>
      <w:bCs/>
      <w:sz w:val="24"/>
      <w:szCs w:val="24"/>
    </w:rPr>
  </w:style>
  <w:style w:type="paragraph" w:styleId="670">
    <w:name w:val="Heading 6"/>
    <w:basedOn w:val="664"/>
    <w:next w:val="664"/>
    <w:link w:val="704"/>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706"/>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707"/>
    <w:uiPriority w:val="9"/>
    <w:unhideWhenUsed/>
    <w:qFormat/>
    <w:pPr>
      <w:keepLines/>
      <w:keepNext/>
      <w:spacing w:before="320" w:after="200"/>
      <w:outlineLvl w:val="8"/>
    </w:pPr>
    <w:rPr>
      <w:rFonts w:ascii="Arial" w:hAnsi="Arial" w:eastAsia="Arial" w:cs="Arial"/>
      <w:i/>
      <w:iCs/>
      <w:sz w:val="21"/>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76">
    <w:name w:val="toc 7"/>
    <w:basedOn w:val="664"/>
    <w:next w:val="664"/>
    <w:uiPriority w:val="0"/>
    <w:semiHidden/>
    <w:qFormat/>
    <w:pPr>
      <w:ind w:left="1260"/>
      <w:jc w:val="left"/>
    </w:pPr>
    <w:rPr>
      <w:rFonts w:ascii="Times New Roman" w:hAnsi="Times New Roman" w:eastAsia="宋体" w:cs="Times New Roman"/>
      <w:szCs w:val="21"/>
    </w:rPr>
  </w:style>
  <w:style w:type="paragraph" w:styleId="677">
    <w:name w:val="Caption"/>
    <w:basedOn w:val="664"/>
    <w:next w:val="6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Body Text"/>
    <w:basedOn w:val="664"/>
    <w:next w:val="679"/>
    <w:uiPriority w:val="0"/>
    <w:qFormat/>
    <w:rPr>
      <w:rFonts w:ascii="仿宋_GB2312" w:eastAsia="仿宋_GB2312"/>
      <w:sz w:val="24"/>
      <w:szCs w:val="20"/>
    </w:rPr>
  </w:style>
  <w:style w:type="paragraph" w:styleId="679">
    <w:name w:val="toc 2"/>
    <w:basedOn w:val="664"/>
    <w:next w:val="664"/>
    <w:uiPriority w:val="0"/>
    <w:qFormat/>
    <w:pPr>
      <w:ind w:left="210"/>
      <w:jc w:val="left"/>
    </w:pPr>
    <w:rPr>
      <w:rFonts w:ascii="Times New Roman" w:hAnsi="Times New Roman" w:eastAsia="宋体" w:cs="Times New Roman"/>
      <w:smallCaps/>
      <w:szCs w:val="24"/>
    </w:rPr>
  </w:style>
  <w:style w:type="paragraph" w:styleId="680">
    <w:name w:val="toc 5"/>
    <w:basedOn w:val="664"/>
    <w:next w:val="664"/>
    <w:uiPriority w:val="0"/>
    <w:semiHidden/>
    <w:qFormat/>
    <w:pPr>
      <w:ind w:left="840"/>
      <w:jc w:val="left"/>
    </w:pPr>
    <w:rPr>
      <w:rFonts w:ascii="Times New Roman" w:hAnsi="Times New Roman" w:eastAsia="宋体" w:cs="Times New Roman"/>
      <w:szCs w:val="21"/>
    </w:rPr>
  </w:style>
  <w:style w:type="paragraph" w:styleId="681">
    <w:name w:val="toc 3"/>
    <w:basedOn w:val="664"/>
    <w:next w:val="664"/>
    <w:uiPriority w:val="0"/>
    <w:qFormat/>
    <w:pPr>
      <w:ind w:left="420"/>
      <w:jc w:val="left"/>
    </w:pPr>
    <w:rPr>
      <w:rFonts w:ascii="Times New Roman" w:hAnsi="Times New Roman" w:eastAsia="宋体" w:cs="Times New Roman"/>
      <w:i/>
      <w:iCs/>
      <w:szCs w:val="24"/>
    </w:rPr>
  </w:style>
  <w:style w:type="paragraph" w:styleId="682">
    <w:name w:val="toc 8"/>
    <w:basedOn w:val="664"/>
    <w:next w:val="664"/>
    <w:uiPriority w:val="0"/>
    <w:semiHidden/>
    <w:qFormat/>
    <w:pPr>
      <w:ind w:left="1470"/>
      <w:jc w:val="left"/>
    </w:pPr>
    <w:rPr>
      <w:rFonts w:ascii="Times New Roman" w:hAnsi="Times New Roman" w:eastAsia="宋体" w:cs="Times New Roman"/>
      <w:szCs w:val="21"/>
    </w:rPr>
  </w:style>
  <w:style w:type="paragraph" w:styleId="683">
    <w:name w:val="endnote text"/>
    <w:basedOn w:val="664"/>
    <w:link w:val="845"/>
    <w:uiPriority w:val="99"/>
    <w:semiHidden/>
    <w:unhideWhenUsed/>
    <w:qFormat/>
    <w:pPr>
      <w:spacing w:after="0" w:line="240" w:lineRule="auto"/>
    </w:pPr>
    <w:rPr>
      <w:sz w:val="20"/>
    </w:rPr>
  </w:style>
  <w:style w:type="paragraph" w:styleId="684">
    <w:name w:val="Footer"/>
    <w:basedOn w:val="664"/>
    <w:link w:val="718"/>
    <w:uiPriority w:val="99"/>
    <w:unhideWhenUsed/>
    <w:qFormat/>
    <w:pPr>
      <w:spacing w:after="0" w:line="240" w:lineRule="auto"/>
      <w:tabs>
        <w:tab w:val="center" w:pos="7143" w:leader="none"/>
        <w:tab w:val="right" w:pos="14287" w:leader="none"/>
      </w:tabs>
    </w:pPr>
  </w:style>
  <w:style w:type="paragraph" w:styleId="685">
    <w:name w:val="Header"/>
    <w:basedOn w:val="664"/>
    <w:link w:val="716"/>
    <w:uiPriority w:val="99"/>
    <w:unhideWhenUsed/>
    <w:qFormat/>
    <w:pPr>
      <w:spacing w:after="0" w:line="240" w:lineRule="auto"/>
      <w:tabs>
        <w:tab w:val="center" w:pos="7143" w:leader="none"/>
        <w:tab w:val="right" w:pos="14287" w:leader="none"/>
      </w:tabs>
    </w:pPr>
  </w:style>
  <w:style w:type="paragraph" w:styleId="686">
    <w:name w:val="toc 1"/>
    <w:basedOn w:val="664"/>
    <w:next w:val="664"/>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687">
    <w:name w:val="toc 4"/>
    <w:basedOn w:val="664"/>
    <w:next w:val="664"/>
    <w:uiPriority w:val="0"/>
    <w:semiHidden/>
    <w:qFormat/>
    <w:pPr>
      <w:ind w:left="630"/>
      <w:jc w:val="left"/>
    </w:pPr>
    <w:rPr>
      <w:rFonts w:ascii="Times New Roman" w:hAnsi="Times New Roman" w:eastAsia="宋体" w:cs="Times New Roman"/>
      <w:szCs w:val="21"/>
    </w:rPr>
  </w:style>
  <w:style w:type="paragraph" w:styleId="688">
    <w:name w:val="Subtitle"/>
    <w:basedOn w:val="664"/>
    <w:next w:val="664"/>
    <w:link w:val="711"/>
    <w:uiPriority w:val="11"/>
    <w:qFormat/>
    <w:pPr>
      <w:spacing w:before="200" w:after="200"/>
    </w:pPr>
    <w:rPr>
      <w:sz w:val="24"/>
      <w:szCs w:val="24"/>
    </w:rPr>
  </w:style>
  <w:style w:type="paragraph" w:styleId="689">
    <w:name w:val="footnote text"/>
    <w:basedOn w:val="664"/>
    <w:link w:val="844"/>
    <w:uiPriority w:val="99"/>
    <w:semiHidden/>
    <w:unhideWhenUsed/>
    <w:qFormat/>
    <w:pPr>
      <w:spacing w:after="40" w:line="240" w:lineRule="auto"/>
    </w:pPr>
    <w:rPr>
      <w:sz w:val="18"/>
    </w:rPr>
  </w:style>
  <w:style w:type="paragraph" w:styleId="690">
    <w:name w:val="toc 6"/>
    <w:basedOn w:val="664"/>
    <w:next w:val="664"/>
    <w:uiPriority w:val="0"/>
    <w:semiHidden/>
    <w:qFormat/>
    <w:pPr>
      <w:ind w:left="1050"/>
      <w:jc w:val="left"/>
    </w:pPr>
    <w:rPr>
      <w:rFonts w:ascii="Times New Roman" w:hAnsi="Times New Roman" w:eastAsia="宋体" w:cs="Times New Roman"/>
      <w:szCs w:val="21"/>
    </w:rPr>
  </w:style>
  <w:style w:type="paragraph" w:styleId="691">
    <w:name w:val="table of figures"/>
    <w:basedOn w:val="664"/>
    <w:next w:val="664"/>
    <w:uiPriority w:val="99"/>
    <w:unhideWhenUsed/>
    <w:qFormat/>
    <w:pPr>
      <w:spacing w:after="0" w:afterAutospacing="0"/>
    </w:pPr>
  </w:style>
  <w:style w:type="paragraph" w:styleId="692">
    <w:name w:val="toc 9"/>
    <w:basedOn w:val="664"/>
    <w:next w:val="664"/>
    <w:uiPriority w:val="0"/>
    <w:semiHidden/>
    <w:qFormat/>
    <w:pPr>
      <w:ind w:left="1680"/>
      <w:jc w:val="left"/>
    </w:pPr>
    <w:rPr>
      <w:rFonts w:ascii="Times New Roman" w:hAnsi="Times New Roman" w:eastAsia="宋体" w:cs="Times New Roman"/>
      <w:szCs w:val="21"/>
    </w:rPr>
  </w:style>
  <w:style w:type="paragraph" w:styleId="693">
    <w:name w:val="Title"/>
    <w:basedOn w:val="664"/>
    <w:next w:val="664"/>
    <w:link w:val="710"/>
    <w:uiPriority w:val="10"/>
    <w:qFormat/>
    <w:pPr>
      <w:contextualSpacing/>
      <w:spacing w:before="300" w:after="200"/>
    </w:pPr>
    <w:rPr>
      <w:sz w:val="48"/>
      <w:szCs w:val="48"/>
    </w:rPr>
  </w:style>
  <w:style w:type="paragraph" w:styleId="694">
    <w:name w:val="Body Text First Indent"/>
    <w:basedOn w:val="678"/>
    <w:uiPriority w:val="0"/>
    <w:qFormat/>
    <w:pPr>
      <w:ind w:firstLine="482"/>
      <w:spacing w:line="360" w:lineRule="auto"/>
    </w:pPr>
    <w:rPr>
      <w:b/>
      <w:sz w:val="24"/>
    </w:rPr>
  </w:style>
  <w:style w:type="table" w:styleId="6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endnote reference"/>
    <w:uiPriority w:val="99"/>
    <w:semiHidden/>
    <w:unhideWhenUsed/>
    <w:qFormat/>
    <w:rPr>
      <w:vertAlign w:val="superscript"/>
    </w:rPr>
  </w:style>
  <w:style w:type="character" w:styleId="697">
    <w:name w:val="Hyperlink"/>
    <w:uiPriority w:val="99"/>
    <w:unhideWhenUsed/>
    <w:qFormat/>
    <w:rPr>
      <w:color w:val="0000ff" w:themeColor="hyperlink"/>
      <w:u w:val="single"/>
      <w14:textFill>
        <w14:solidFill>
          <w14:schemeClr w14:val="hlink"/>
        </w14:solidFill>
      </w14:textFill>
    </w:rPr>
  </w:style>
  <w:style w:type="character" w:styleId="698">
    <w:name w:val="footnote reference"/>
    <w:uiPriority w:val="99"/>
    <w:unhideWhenUsed/>
    <w:qFormat/>
    <w:rPr>
      <w:vertAlign w:val="superscript"/>
    </w:rPr>
  </w:style>
  <w:style w:type="character" w:styleId="699" w:customStyle="1">
    <w:name w:val="Heading 1 Char"/>
    <w:link w:val="665"/>
    <w:uiPriority w:val="9"/>
    <w:qFormat/>
    <w:rPr>
      <w:rFonts w:ascii="Arial" w:hAnsi="Arial" w:eastAsia="Arial" w:cs="Arial"/>
      <w:sz w:val="40"/>
      <w:szCs w:val="40"/>
    </w:rPr>
  </w:style>
  <w:style w:type="character" w:styleId="700" w:customStyle="1">
    <w:name w:val="Heading 2 Char"/>
    <w:link w:val="666"/>
    <w:uiPriority w:val="9"/>
    <w:qFormat/>
    <w:rPr>
      <w:rFonts w:ascii="Arial" w:hAnsi="Arial" w:eastAsia="Arial" w:cs="Arial"/>
      <w:sz w:val="34"/>
    </w:rPr>
  </w:style>
  <w:style w:type="character" w:styleId="701" w:customStyle="1">
    <w:name w:val="Heading 3 Char"/>
    <w:link w:val="667"/>
    <w:uiPriority w:val="9"/>
    <w:qFormat/>
    <w:rPr>
      <w:rFonts w:ascii="Arial" w:hAnsi="Arial" w:eastAsia="Arial" w:cs="Arial"/>
      <w:sz w:val="30"/>
      <w:szCs w:val="30"/>
    </w:rPr>
  </w:style>
  <w:style w:type="character" w:styleId="702" w:customStyle="1">
    <w:name w:val="Heading 4 Char"/>
    <w:link w:val="668"/>
    <w:uiPriority w:val="9"/>
    <w:qFormat/>
    <w:rPr>
      <w:rFonts w:ascii="Arial" w:hAnsi="Arial" w:eastAsia="Arial" w:cs="Arial"/>
      <w:b/>
      <w:bCs/>
      <w:sz w:val="26"/>
      <w:szCs w:val="26"/>
    </w:rPr>
  </w:style>
  <w:style w:type="character" w:styleId="703" w:customStyle="1">
    <w:name w:val="Heading 5 Char"/>
    <w:link w:val="669"/>
    <w:uiPriority w:val="9"/>
    <w:qFormat/>
    <w:rPr>
      <w:rFonts w:ascii="Arial" w:hAnsi="Arial" w:eastAsia="Arial" w:cs="Arial"/>
      <w:b/>
      <w:bCs/>
      <w:sz w:val="24"/>
      <w:szCs w:val="24"/>
    </w:rPr>
  </w:style>
  <w:style w:type="character" w:styleId="704" w:customStyle="1">
    <w:name w:val="Heading 6 Char"/>
    <w:link w:val="670"/>
    <w:uiPriority w:val="9"/>
    <w:qFormat/>
    <w:rPr>
      <w:rFonts w:ascii="Arial" w:hAnsi="Arial" w:eastAsia="Arial" w:cs="Arial"/>
      <w:b/>
      <w:bCs/>
      <w:sz w:val="22"/>
      <w:szCs w:val="22"/>
    </w:rPr>
  </w:style>
  <w:style w:type="character" w:styleId="705" w:customStyle="1">
    <w:name w:val="Heading 7 Char"/>
    <w:link w:val="671"/>
    <w:uiPriority w:val="9"/>
    <w:qFormat/>
    <w:rPr>
      <w:rFonts w:ascii="Arial" w:hAnsi="Arial" w:eastAsia="Arial" w:cs="Arial"/>
      <w:b/>
      <w:bCs/>
      <w:i/>
      <w:iCs/>
      <w:sz w:val="22"/>
      <w:szCs w:val="22"/>
    </w:rPr>
  </w:style>
  <w:style w:type="character" w:styleId="706" w:customStyle="1">
    <w:name w:val="Heading 8 Char"/>
    <w:link w:val="672"/>
    <w:uiPriority w:val="9"/>
    <w:qFormat/>
    <w:rPr>
      <w:rFonts w:ascii="Arial" w:hAnsi="Arial" w:eastAsia="Arial" w:cs="Arial"/>
      <w:i/>
      <w:iCs/>
      <w:sz w:val="22"/>
      <w:szCs w:val="22"/>
    </w:rPr>
  </w:style>
  <w:style w:type="character" w:styleId="707" w:customStyle="1">
    <w:name w:val="Heading 9 Char"/>
    <w:link w:val="673"/>
    <w:uiPriority w:val="9"/>
    <w:qFormat/>
    <w:rPr>
      <w:rFonts w:ascii="Arial" w:hAnsi="Arial" w:eastAsia="Arial" w:cs="Arial"/>
      <w:i/>
      <w:iCs/>
      <w:sz w:val="21"/>
      <w:szCs w:val="21"/>
    </w:rPr>
  </w:style>
  <w:style w:type="paragraph" w:styleId="708">
    <w:name w:val="List Paragraph"/>
    <w:basedOn w:val="664"/>
    <w:uiPriority w:val="34"/>
    <w:qFormat/>
    <w:pPr>
      <w:contextualSpacing/>
      <w:ind w:left="720"/>
    </w:pPr>
  </w:style>
  <w:style w:type="paragraph" w:styleId="709">
    <w:name w:val="No Spacing"/>
    <w:uiPriority w:val="1"/>
    <w:qFormat/>
    <w:pPr>
      <w:spacing w:before="0" w:after="0" w:line="240" w:lineRule="auto"/>
    </w:pPr>
    <w:rPr>
      <w:rFonts w:hint="default" w:ascii="Calibri" w:hAnsi="Calibri" w:eastAsia="宋体" w:cs="Times New Roman"/>
    </w:rPr>
  </w:style>
  <w:style w:type="character" w:styleId="710" w:customStyle="1">
    <w:name w:val="Title Char"/>
    <w:link w:val="693"/>
    <w:uiPriority w:val="10"/>
    <w:qFormat/>
    <w:rPr>
      <w:sz w:val="48"/>
      <w:szCs w:val="48"/>
    </w:rPr>
  </w:style>
  <w:style w:type="character" w:styleId="711" w:customStyle="1">
    <w:name w:val="Subtitle Char"/>
    <w:link w:val="688"/>
    <w:uiPriority w:val="11"/>
    <w:qFormat/>
    <w:rPr>
      <w:sz w:val="24"/>
      <w:szCs w:val="24"/>
    </w:rPr>
  </w:style>
  <w:style w:type="paragraph" w:styleId="712">
    <w:name w:val="Quote"/>
    <w:basedOn w:val="664"/>
    <w:next w:val="664"/>
    <w:link w:val="713"/>
    <w:uiPriority w:val="29"/>
    <w:qFormat/>
    <w:pPr>
      <w:ind w:left="720" w:right="720"/>
    </w:pPr>
    <w:rPr>
      <w:i/>
    </w:rPr>
  </w:style>
  <w:style w:type="character" w:styleId="713" w:customStyle="1">
    <w:name w:val="Quote Char"/>
    <w:link w:val="712"/>
    <w:uiPriority w:val="29"/>
    <w:qFormat/>
    <w:rPr>
      <w:i/>
    </w:rPr>
  </w:style>
  <w:style w:type="paragraph" w:styleId="714">
    <w:name w:val="Intense Quote"/>
    <w:basedOn w:val="664"/>
    <w:next w:val="664"/>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Intense Quote Char"/>
    <w:link w:val="714"/>
    <w:uiPriority w:val="30"/>
    <w:qFormat/>
    <w:rPr>
      <w:i/>
    </w:rPr>
  </w:style>
  <w:style w:type="character" w:styleId="716" w:customStyle="1">
    <w:name w:val="Header Char"/>
    <w:link w:val="685"/>
    <w:uiPriority w:val="99"/>
    <w:qFormat/>
  </w:style>
  <w:style w:type="character" w:styleId="717" w:customStyle="1">
    <w:name w:val="Footer Char"/>
    <w:link w:val="684"/>
    <w:uiPriority w:val="99"/>
    <w:qFormat/>
  </w:style>
  <w:style w:type="character" w:styleId="718" w:customStyle="1">
    <w:name w:val="Caption Char"/>
    <w:link w:val="684"/>
    <w:uiPriority w:val="99"/>
    <w:qFormat/>
  </w:style>
  <w:style w:type="table" w:styleId="7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4" w:customStyle="1">
    <w:name w:val="Footnote Text Char"/>
    <w:link w:val="689"/>
    <w:uiPriority w:val="99"/>
    <w:qFormat/>
    <w:rPr>
      <w:sz w:val="18"/>
    </w:rPr>
  </w:style>
  <w:style w:type="character" w:styleId="845" w:customStyle="1">
    <w:name w:val="Endnote Text Char"/>
    <w:link w:val="683"/>
    <w:uiPriority w:val="99"/>
    <w:qFormat/>
    <w:rPr>
      <w:sz w:val="20"/>
    </w:rPr>
  </w:style>
  <w:style w:type="paragraph" w:styleId="846" w:customStyle="1">
    <w:name w:val="TOC Heading"/>
    <w:uiPriority w:val="39"/>
    <w:unhideWhenUsed/>
    <w:qFormat/>
    <w:rPr>
      <w:rFonts w:hint="default" w:ascii="Calibri" w:hAnsi="Calibri" w:eastAsia="宋体" w:cs="Times New Roman"/>
    </w:rPr>
  </w:style>
  <w:style w:type="paragraph" w:styleId="847" w:customStyle="1">
    <w:name w:val="标题 111"/>
    <w:basedOn w:val="664"/>
    <w:next w:val="664"/>
    <w:link w:val="859"/>
    <w:uiPriority w:val="0"/>
    <w:qFormat/>
    <w:pPr>
      <w:jc w:val="center"/>
      <w:keepNext/>
      <w:outlineLvl w:val="0"/>
    </w:pPr>
    <w:rPr>
      <w:rFonts w:ascii="楷体_GB2312" w:hAnsi="Times New Roman" w:eastAsia="楷体_GB2312" w:cs="Times New Roman"/>
      <w:sz w:val="28"/>
      <w:szCs w:val="28"/>
    </w:rPr>
  </w:style>
  <w:style w:type="paragraph" w:styleId="848" w:customStyle="1">
    <w:name w:val="标题 211"/>
    <w:basedOn w:val="664"/>
    <w:next w:val="849"/>
    <w:link w:val="86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9" w:customStyle="1">
    <w:name w:val="正文缩进1"/>
    <w:basedOn w:val="664"/>
    <w:link w:val="861"/>
    <w:uiPriority w:val="0"/>
    <w:qFormat/>
    <w:pPr>
      <w:ind w:firstLine="420"/>
    </w:pPr>
    <w:rPr>
      <w:szCs w:val="21"/>
    </w:rPr>
  </w:style>
  <w:style w:type="paragraph" w:styleId="850" w:customStyle="1">
    <w:name w:val="标题 31"/>
    <w:basedOn w:val="664"/>
    <w:next w:val="849"/>
    <w:link w:val="86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1" w:customStyle="1">
    <w:name w:val="标题 41"/>
    <w:basedOn w:val="664"/>
    <w:next w:val="849"/>
    <w:link w:val="863"/>
    <w:uiPriority w:val="0"/>
    <w:qFormat/>
    <w:pPr>
      <w:keepLines/>
      <w:keepNext/>
      <w:spacing w:before="280" w:after="290" w:line="376" w:lineRule="auto"/>
      <w:outlineLvl w:val="3"/>
    </w:pPr>
    <w:rPr>
      <w:rFonts w:ascii="Arial" w:hAnsi="Arial" w:eastAsia="黑体" w:cs="Arial"/>
      <w:b/>
      <w:bCs/>
      <w:sz w:val="28"/>
      <w:szCs w:val="28"/>
    </w:rPr>
  </w:style>
  <w:style w:type="paragraph" w:styleId="852" w:customStyle="1">
    <w:name w:val="标题 51"/>
    <w:basedOn w:val="664"/>
    <w:next w:val="849"/>
    <w:link w:val="864"/>
    <w:uiPriority w:val="0"/>
    <w:qFormat/>
    <w:pPr>
      <w:keepNext/>
      <w:outlineLvl w:val="4"/>
    </w:pPr>
    <w:rPr>
      <w:rFonts w:ascii="宋体" w:hAnsi="Times New Roman" w:eastAsia="宋体" w:cs="Times New Roman"/>
      <w:color w:val="000000"/>
      <w:sz w:val="28"/>
      <w:szCs w:val="28"/>
    </w:rPr>
  </w:style>
  <w:style w:type="paragraph" w:styleId="853" w:customStyle="1">
    <w:name w:val="标题 61"/>
    <w:basedOn w:val="664"/>
    <w:next w:val="664"/>
    <w:link w:val="86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4" w:customStyle="1">
    <w:name w:val="标题 71"/>
    <w:basedOn w:val="664"/>
    <w:next w:val="664"/>
    <w:link w:val="86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55" w:customStyle="1">
    <w:name w:val="标题 81"/>
    <w:basedOn w:val="664"/>
    <w:next w:val="664"/>
    <w:link w:val="86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6" w:customStyle="1">
    <w:name w:val="标题 91"/>
    <w:basedOn w:val="664"/>
    <w:next w:val="664"/>
    <w:link w:val="86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7" w:customStyle="1">
    <w:name w:val="默认段落字体1"/>
    <w:link w:val="664"/>
    <w:uiPriority w:val="1"/>
    <w:unhideWhenUsed/>
    <w:qFormat/>
  </w:style>
  <w:style w:type="table" w:styleId="858" w:customStyle="1">
    <w:name w:val="普通表格1"/>
    <w:uiPriority w:val="99"/>
    <w:unhideWhenUsed/>
    <w:qFormat/>
    <w:tblPr/>
  </w:style>
  <w:style w:type="character" w:styleId="859" w:customStyle="1">
    <w:name w:val="标题 1 字符"/>
    <w:link w:val="847"/>
    <w:uiPriority w:val="0"/>
    <w:qFormat/>
    <w:rPr>
      <w:rFonts w:ascii="楷体_GB2312" w:hAnsi="Times New Roman" w:eastAsia="楷体_GB2312" w:cs="Times New Roman"/>
      <w:sz w:val="28"/>
      <w:szCs w:val="28"/>
    </w:rPr>
  </w:style>
  <w:style w:type="character" w:styleId="860" w:customStyle="1">
    <w:name w:val="标题 2 字符"/>
    <w:link w:val="848"/>
    <w:uiPriority w:val="0"/>
    <w:qFormat/>
    <w:rPr>
      <w:rFonts w:ascii="Arial" w:hAnsi="Arial" w:eastAsia="幼圆" w:cs="Arial"/>
      <w:b/>
      <w:bCs/>
      <w:sz w:val="44"/>
      <w:szCs w:val="44"/>
    </w:rPr>
  </w:style>
  <w:style w:type="character" w:styleId="861" w:customStyle="1">
    <w:name w:val="正文缩进 字符"/>
    <w:link w:val="849"/>
    <w:uiPriority w:val="0"/>
    <w:qFormat/>
    <w:rPr>
      <w:szCs w:val="21"/>
    </w:rPr>
  </w:style>
  <w:style w:type="character" w:styleId="862" w:customStyle="1">
    <w:name w:val="标题 3 字符"/>
    <w:link w:val="850"/>
    <w:uiPriority w:val="0"/>
    <w:qFormat/>
    <w:rPr>
      <w:rFonts w:ascii="Times New Roman" w:hAnsi="Times New Roman" w:eastAsia="宋体" w:cs="Times New Roman"/>
      <w:b/>
      <w:bCs/>
      <w:sz w:val="32"/>
      <w:szCs w:val="32"/>
    </w:rPr>
  </w:style>
  <w:style w:type="character" w:styleId="863" w:customStyle="1">
    <w:name w:val="标题 4 字符"/>
    <w:link w:val="851"/>
    <w:uiPriority w:val="0"/>
    <w:qFormat/>
    <w:rPr>
      <w:rFonts w:ascii="Arial" w:hAnsi="Arial" w:eastAsia="黑体" w:cs="Arial"/>
      <w:b/>
      <w:bCs/>
      <w:sz w:val="28"/>
      <w:szCs w:val="28"/>
    </w:rPr>
  </w:style>
  <w:style w:type="character" w:styleId="864" w:customStyle="1">
    <w:name w:val="标题 5 字符"/>
    <w:link w:val="852"/>
    <w:uiPriority w:val="0"/>
    <w:qFormat/>
    <w:rPr>
      <w:rFonts w:ascii="宋体" w:hAnsi="Times New Roman" w:eastAsia="宋体" w:cs="Times New Roman"/>
      <w:color w:val="000000"/>
      <w:sz w:val="28"/>
      <w:szCs w:val="28"/>
    </w:rPr>
  </w:style>
  <w:style w:type="character" w:styleId="865" w:customStyle="1">
    <w:name w:val="标题 6 字符"/>
    <w:link w:val="853"/>
    <w:uiPriority w:val="0"/>
    <w:qFormat/>
    <w:rPr>
      <w:rFonts w:ascii="Arial" w:hAnsi="Arial" w:eastAsia="黑体" w:cs="Times New Roman"/>
      <w:b/>
      <w:bCs/>
      <w:sz w:val="24"/>
      <w:szCs w:val="24"/>
    </w:rPr>
  </w:style>
  <w:style w:type="character" w:styleId="866" w:customStyle="1">
    <w:name w:val="标题 7 字符"/>
    <w:link w:val="854"/>
    <w:uiPriority w:val="0"/>
    <w:qFormat/>
    <w:rPr>
      <w:rFonts w:ascii="Times New Roman" w:hAnsi="Times New Roman" w:eastAsia="宋体" w:cs="Times New Roman"/>
      <w:b/>
      <w:bCs/>
      <w:sz w:val="24"/>
      <w:szCs w:val="24"/>
    </w:rPr>
  </w:style>
  <w:style w:type="character" w:styleId="867" w:customStyle="1">
    <w:name w:val="标题 8 字符"/>
    <w:link w:val="855"/>
    <w:uiPriority w:val="0"/>
    <w:qFormat/>
    <w:rPr>
      <w:rFonts w:ascii="Arial" w:hAnsi="Arial" w:eastAsia="黑体" w:cs="Times New Roman"/>
      <w:sz w:val="24"/>
      <w:szCs w:val="24"/>
    </w:rPr>
  </w:style>
  <w:style w:type="character" w:styleId="868" w:customStyle="1">
    <w:name w:val="标题 9 字符"/>
    <w:link w:val="856"/>
    <w:uiPriority w:val="0"/>
    <w:qFormat/>
    <w:rPr>
      <w:rFonts w:ascii="Arial" w:hAnsi="Arial" w:eastAsia="黑体" w:cs="Times New Roman"/>
      <w:szCs w:val="21"/>
    </w:rPr>
  </w:style>
  <w:style w:type="paragraph" w:styleId="869" w:customStyle="1">
    <w:name w:val="列表 31"/>
    <w:basedOn w:val="664"/>
    <w:uiPriority w:val="0"/>
    <w:qFormat/>
    <w:pPr>
      <w:ind w:left="100" w:hanging="200"/>
    </w:pPr>
    <w:rPr>
      <w:rFonts w:ascii="Times New Roman" w:hAnsi="Times New Roman" w:eastAsia="宋体" w:cs="Times New Roman"/>
      <w:szCs w:val="21"/>
    </w:rPr>
  </w:style>
  <w:style w:type="paragraph" w:styleId="870" w:customStyle="1">
    <w:name w:val="索引 51"/>
    <w:basedOn w:val="664"/>
    <w:next w:val="664"/>
    <w:uiPriority w:val="99"/>
    <w:unhideWhenUsed/>
    <w:qFormat/>
    <w:pPr>
      <w:ind w:left="800"/>
    </w:pPr>
  </w:style>
  <w:style w:type="paragraph" w:styleId="871" w:customStyle="1">
    <w:name w:val="文档结构图1"/>
    <w:basedOn w:val="664"/>
    <w:link w:val="872"/>
    <w:uiPriority w:val="0"/>
    <w:semiHidden/>
    <w:qFormat/>
    <w:pPr>
      <w:shd w:val="clear" w:color="auto" w:fill="000080"/>
    </w:pPr>
    <w:rPr>
      <w:rFonts w:ascii="Times New Roman" w:hAnsi="Times New Roman" w:eastAsia="宋体" w:cs="Times New Roman"/>
      <w:szCs w:val="21"/>
    </w:rPr>
  </w:style>
  <w:style w:type="character" w:styleId="872" w:customStyle="1">
    <w:name w:val="文档结构图 字符"/>
    <w:link w:val="871"/>
    <w:uiPriority w:val="0"/>
    <w:semiHidden/>
    <w:qFormat/>
    <w:rPr>
      <w:rFonts w:ascii="Times New Roman" w:hAnsi="Times New Roman" w:eastAsia="宋体" w:cs="Times New Roman"/>
      <w:szCs w:val="21"/>
      <w:shd w:val="clear" w:color="auto" w:fill="000080"/>
    </w:rPr>
  </w:style>
  <w:style w:type="paragraph" w:styleId="873" w:customStyle="1">
    <w:name w:val="批注文字1"/>
    <w:basedOn w:val="664"/>
    <w:link w:val="874"/>
    <w:uiPriority w:val="0"/>
    <w:unhideWhenUsed/>
    <w:qFormat/>
    <w:pPr>
      <w:jc w:val="left"/>
    </w:pPr>
  </w:style>
  <w:style w:type="character" w:styleId="874" w:customStyle="1">
    <w:name w:val="批注文字 字符"/>
    <w:link w:val="873"/>
    <w:uiPriority w:val="99"/>
    <w:semiHidden/>
    <w:qFormat/>
  </w:style>
  <w:style w:type="paragraph" w:styleId="875" w:customStyle="1">
    <w:name w:val="正文文本 31"/>
    <w:basedOn w:val="664"/>
    <w:link w:val="876"/>
    <w:uiPriority w:val="0"/>
    <w:qFormat/>
    <w:rPr>
      <w:rFonts w:ascii="仿宋_GB2312" w:hAnsi="Arial" w:eastAsia="仿宋_GB2312" w:cs="Times New Roman"/>
      <w:sz w:val="32"/>
      <w:szCs w:val="32"/>
    </w:rPr>
  </w:style>
  <w:style w:type="character" w:styleId="876" w:customStyle="1">
    <w:name w:val="正文文本 3 字符"/>
    <w:link w:val="875"/>
    <w:uiPriority w:val="0"/>
    <w:qFormat/>
    <w:rPr>
      <w:rFonts w:ascii="仿宋_GB2312" w:hAnsi="Arial" w:eastAsia="仿宋_GB2312" w:cs="Times New Roman"/>
      <w:sz w:val="32"/>
      <w:szCs w:val="32"/>
    </w:rPr>
  </w:style>
  <w:style w:type="paragraph" w:styleId="877" w:customStyle="1">
    <w:name w:val="正文文本11"/>
    <w:basedOn w:val="664"/>
    <w:link w:val="878"/>
    <w:uiPriority w:val="0"/>
    <w:qFormat/>
    <w:rPr>
      <w:rFonts w:ascii="楷体_GB2312" w:hAnsi="Arial" w:eastAsia="楷体_GB2312" w:cs="Times New Roman"/>
      <w:sz w:val="28"/>
      <w:szCs w:val="28"/>
    </w:rPr>
  </w:style>
  <w:style w:type="character" w:styleId="878" w:customStyle="1">
    <w:name w:val="正文文本 字符"/>
    <w:link w:val="877"/>
    <w:uiPriority w:val="0"/>
    <w:qFormat/>
    <w:rPr>
      <w:rFonts w:ascii="楷体_GB2312" w:hAnsi="Arial" w:eastAsia="楷体_GB2312" w:cs="Times New Roman"/>
      <w:sz w:val="28"/>
      <w:szCs w:val="28"/>
    </w:rPr>
  </w:style>
  <w:style w:type="paragraph" w:styleId="879" w:customStyle="1">
    <w:name w:val="正文文本缩进1"/>
    <w:basedOn w:val="664"/>
    <w:link w:val="880"/>
    <w:uiPriority w:val="0"/>
    <w:unhideWhenUsed/>
    <w:qFormat/>
    <w:pPr>
      <w:ind w:left="420"/>
      <w:spacing w:after="120"/>
    </w:pPr>
  </w:style>
  <w:style w:type="character" w:styleId="880" w:customStyle="1">
    <w:name w:val="正文文本缩进 字符"/>
    <w:link w:val="879"/>
    <w:uiPriority w:val="99"/>
    <w:qFormat/>
  </w:style>
  <w:style w:type="paragraph" w:styleId="881" w:customStyle="1">
    <w:name w:val="列表 21"/>
    <w:basedOn w:val="664"/>
    <w:uiPriority w:val="0"/>
    <w:qFormat/>
    <w:pPr>
      <w:ind w:left="100" w:hanging="200"/>
    </w:pPr>
    <w:rPr>
      <w:rFonts w:ascii="Times New Roman" w:hAnsi="Times New Roman" w:eastAsia="宋体" w:cs="Times New Roman"/>
      <w:szCs w:val="21"/>
    </w:rPr>
  </w:style>
  <w:style w:type="paragraph" w:styleId="882" w:customStyle="1">
    <w:name w:val="纯文本1"/>
    <w:basedOn w:val="664"/>
    <w:link w:val="883"/>
    <w:uiPriority w:val="0"/>
    <w:qFormat/>
    <w:rPr>
      <w:rFonts w:ascii="宋体" w:hAnsi="Courier New" w:eastAsia="宋体" w:cs="Courier New"/>
      <w:szCs w:val="21"/>
    </w:rPr>
  </w:style>
  <w:style w:type="character" w:styleId="883" w:customStyle="1">
    <w:name w:val="纯文本 字符"/>
    <w:link w:val="882"/>
    <w:uiPriority w:val="0"/>
    <w:qFormat/>
    <w:rPr>
      <w:rFonts w:ascii="宋体" w:hAnsi="Courier New" w:eastAsia="宋体" w:cs="Courier New"/>
      <w:szCs w:val="21"/>
    </w:rPr>
  </w:style>
  <w:style w:type="paragraph" w:styleId="884" w:customStyle="1">
    <w:name w:val="日期1"/>
    <w:basedOn w:val="664"/>
    <w:next w:val="664"/>
    <w:link w:val="885"/>
    <w:uiPriority w:val="0"/>
    <w:qFormat/>
    <w:rPr>
      <w:rFonts w:ascii="Times New Roman" w:hAnsi="Times New Roman" w:eastAsia="宋体" w:cs="Times New Roman"/>
      <w:sz w:val="24"/>
      <w:szCs w:val="24"/>
    </w:rPr>
  </w:style>
  <w:style w:type="character" w:styleId="885" w:customStyle="1">
    <w:name w:val="日期 字符"/>
    <w:link w:val="884"/>
    <w:uiPriority w:val="0"/>
    <w:qFormat/>
    <w:rPr>
      <w:rFonts w:ascii="Times New Roman" w:hAnsi="Times New Roman" w:eastAsia="宋体" w:cs="Times New Roman"/>
      <w:sz w:val="24"/>
      <w:szCs w:val="24"/>
    </w:rPr>
  </w:style>
  <w:style w:type="paragraph" w:styleId="886" w:customStyle="1">
    <w:name w:val="正文文本缩进 21"/>
    <w:basedOn w:val="664"/>
    <w:link w:val="887"/>
    <w:uiPriority w:val="0"/>
    <w:qFormat/>
    <w:pPr>
      <w:ind w:left="630" w:firstLine="645"/>
    </w:pPr>
    <w:rPr>
      <w:rFonts w:ascii="Arial" w:hAnsi="Arial" w:eastAsia="仿宋_GB2312" w:cs="Arial"/>
      <w:sz w:val="32"/>
      <w:szCs w:val="32"/>
    </w:rPr>
  </w:style>
  <w:style w:type="character" w:styleId="887" w:customStyle="1">
    <w:name w:val="正文文本缩进 2 字符"/>
    <w:link w:val="886"/>
    <w:uiPriority w:val="0"/>
    <w:qFormat/>
    <w:rPr>
      <w:rFonts w:ascii="Arial" w:hAnsi="Arial" w:eastAsia="仿宋_GB2312" w:cs="Arial"/>
      <w:sz w:val="32"/>
      <w:szCs w:val="32"/>
    </w:rPr>
  </w:style>
  <w:style w:type="paragraph" w:styleId="888" w:customStyle="1">
    <w:name w:val="批注框文本1"/>
    <w:basedOn w:val="664"/>
    <w:link w:val="889"/>
    <w:uiPriority w:val="0"/>
    <w:semiHidden/>
    <w:qFormat/>
    <w:rPr>
      <w:rFonts w:ascii="Times New Roman" w:hAnsi="Times New Roman" w:eastAsia="宋体" w:cs="Times New Roman"/>
      <w:sz w:val="18"/>
      <w:szCs w:val="18"/>
    </w:rPr>
  </w:style>
  <w:style w:type="character" w:styleId="889" w:customStyle="1">
    <w:name w:val="批注框文本 字符"/>
    <w:link w:val="888"/>
    <w:uiPriority w:val="0"/>
    <w:semiHidden/>
    <w:qFormat/>
    <w:rPr>
      <w:rFonts w:ascii="Times New Roman" w:hAnsi="Times New Roman" w:eastAsia="宋体" w:cs="Times New Roman"/>
      <w:sz w:val="18"/>
      <w:szCs w:val="18"/>
    </w:rPr>
  </w:style>
  <w:style w:type="paragraph" w:styleId="890" w:customStyle="1">
    <w:name w:val="页脚1"/>
    <w:basedOn w:val="664"/>
    <w:link w:val="891"/>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891" w:customStyle="1">
    <w:name w:val="页脚 字符"/>
    <w:link w:val="890"/>
    <w:uiPriority w:val="99"/>
    <w:qFormat/>
    <w:rPr>
      <w:rFonts w:ascii="Times New Roman" w:hAnsi="Times New Roman" w:eastAsia="宋体" w:cs="Times New Roman"/>
      <w:sz w:val="18"/>
      <w:szCs w:val="18"/>
    </w:rPr>
  </w:style>
  <w:style w:type="paragraph" w:styleId="892" w:customStyle="1">
    <w:name w:val="寄信人地址1"/>
    <w:basedOn w:val="664"/>
    <w:uiPriority w:val="99"/>
    <w:unhideWhenUsed/>
    <w:qFormat/>
    <w:rPr>
      <w:rFonts w:ascii="Arial" w:hAnsi="Arial"/>
      <w:szCs w:val="24"/>
    </w:rPr>
  </w:style>
  <w:style w:type="paragraph" w:styleId="893" w:customStyle="1">
    <w:name w:val="页眉1"/>
    <w:basedOn w:val="664"/>
    <w:link w:val="89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94" w:customStyle="1">
    <w:name w:val="页眉 字符"/>
    <w:link w:val="893"/>
    <w:uiPriority w:val="0"/>
    <w:qFormat/>
    <w:rPr>
      <w:rFonts w:ascii="Times New Roman" w:hAnsi="Times New Roman" w:eastAsia="宋体" w:cs="Times New Roman"/>
      <w:sz w:val="18"/>
      <w:szCs w:val="18"/>
    </w:rPr>
  </w:style>
  <w:style w:type="paragraph" w:styleId="895" w:customStyle="1">
    <w:name w:val="列表1"/>
    <w:basedOn w:val="664"/>
    <w:uiPriority w:val="0"/>
    <w:qFormat/>
    <w:pPr>
      <w:ind w:left="200" w:hanging="200"/>
    </w:pPr>
    <w:rPr>
      <w:rFonts w:ascii="Times New Roman" w:hAnsi="Times New Roman" w:eastAsia="宋体" w:cs="Times New Roman"/>
      <w:szCs w:val="21"/>
    </w:rPr>
  </w:style>
  <w:style w:type="paragraph" w:styleId="896" w:customStyle="1">
    <w:name w:val="正文文本缩进 31"/>
    <w:basedOn w:val="664"/>
    <w:link w:val="897"/>
    <w:uiPriority w:val="0"/>
    <w:qFormat/>
    <w:pPr>
      <w:ind w:left="645" w:firstLine="645"/>
    </w:pPr>
    <w:rPr>
      <w:rFonts w:ascii="Arial" w:hAnsi="Arial" w:eastAsia="仿宋_GB2312" w:cs="Arial"/>
      <w:color w:val="ffff00"/>
      <w:sz w:val="32"/>
      <w:szCs w:val="32"/>
    </w:rPr>
  </w:style>
  <w:style w:type="character" w:styleId="897" w:customStyle="1">
    <w:name w:val="正文文本缩进 3 字符"/>
    <w:link w:val="896"/>
    <w:uiPriority w:val="0"/>
    <w:qFormat/>
    <w:rPr>
      <w:rFonts w:ascii="Arial" w:hAnsi="Arial" w:eastAsia="仿宋_GB2312" w:cs="Arial"/>
      <w:color w:val="ffff00"/>
      <w:sz w:val="32"/>
      <w:szCs w:val="32"/>
    </w:rPr>
  </w:style>
  <w:style w:type="paragraph" w:styleId="898" w:customStyle="1">
    <w:name w:val="图表目录1"/>
    <w:basedOn w:val="664"/>
    <w:next w:val="664"/>
    <w:uiPriority w:val="0"/>
    <w:semiHidden/>
    <w:qFormat/>
    <w:pPr>
      <w:ind w:left="840" w:hanging="420"/>
    </w:pPr>
    <w:rPr>
      <w:rFonts w:ascii="Times New Roman" w:hAnsi="Times New Roman" w:eastAsia="宋体" w:cs="Times New Roman"/>
      <w:szCs w:val="21"/>
    </w:rPr>
  </w:style>
  <w:style w:type="paragraph" w:styleId="899" w:customStyle="1">
    <w:name w:val="正文文本 21"/>
    <w:basedOn w:val="664"/>
    <w:link w:val="900"/>
    <w:uiPriority w:val="0"/>
    <w:qFormat/>
    <w:pPr>
      <w:jc w:val="center"/>
      <w:widowControl/>
    </w:pPr>
    <w:rPr>
      <w:rFonts w:ascii="楷体_GB2312" w:hAnsi="Times New Roman" w:eastAsia="楷体_GB2312" w:cs="Times New Roman"/>
      <w:sz w:val="28"/>
      <w:szCs w:val="28"/>
    </w:rPr>
  </w:style>
  <w:style w:type="character" w:styleId="900" w:customStyle="1">
    <w:name w:val="正文文本 2 字符"/>
    <w:link w:val="899"/>
    <w:uiPriority w:val="0"/>
    <w:qFormat/>
    <w:rPr>
      <w:rFonts w:ascii="楷体_GB2312" w:hAnsi="Times New Roman" w:eastAsia="楷体_GB2312" w:cs="Times New Roman"/>
      <w:sz w:val="28"/>
      <w:szCs w:val="28"/>
    </w:rPr>
  </w:style>
  <w:style w:type="paragraph" w:styleId="901" w:customStyle="1">
    <w:name w:val="HTML 预设格式1"/>
    <w:basedOn w:val="664"/>
    <w:link w:val="9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902" w:customStyle="1">
    <w:name w:val="HTML 预设格式 字符"/>
    <w:link w:val="901"/>
    <w:uiPriority w:val="0"/>
    <w:qFormat/>
    <w:rPr>
      <w:rFonts w:ascii="黑体" w:hAnsi="Courier New" w:eastAsia="黑体" w:cs="Courier New"/>
    </w:rPr>
  </w:style>
  <w:style w:type="paragraph" w:styleId="903" w:customStyle="1">
    <w:name w:val="普通(网站)1"/>
    <w:basedOn w:val="664"/>
    <w:uiPriority w:val="99"/>
    <w:qFormat/>
    <w:pPr>
      <w:jc w:val="left"/>
      <w:spacing w:before="100" w:beforeAutospacing="1" w:after="100" w:afterAutospacing="1"/>
      <w:widowControl/>
    </w:pPr>
    <w:rPr>
      <w:rFonts w:ascii="宋体" w:hAnsi="宋体" w:eastAsia="宋体" w:cs="宋体"/>
      <w:sz w:val="24"/>
      <w:szCs w:val="24"/>
    </w:rPr>
  </w:style>
  <w:style w:type="paragraph" w:styleId="904" w:customStyle="1">
    <w:name w:val="索引 11"/>
    <w:basedOn w:val="664"/>
    <w:next w:val="664"/>
    <w:uiPriority w:val="0"/>
    <w:semiHidden/>
    <w:qFormat/>
    <w:pPr>
      <w:spacing w:line="240" w:lineRule="atLeast"/>
    </w:pPr>
    <w:rPr>
      <w:rFonts w:ascii="Times New Roman" w:hAnsi="Times New Roman" w:eastAsia="宋体" w:cs="Times New Roman"/>
      <w:b/>
      <w:bCs/>
      <w:szCs w:val="21"/>
    </w:rPr>
  </w:style>
  <w:style w:type="paragraph" w:styleId="905" w:customStyle="1">
    <w:name w:val="批注主题1"/>
    <w:basedOn w:val="873"/>
    <w:next w:val="873"/>
    <w:link w:val="906"/>
    <w:uiPriority w:val="0"/>
    <w:semiHidden/>
    <w:qFormat/>
    <w:rPr>
      <w:rFonts w:ascii="Times New Roman" w:hAnsi="Times New Roman" w:eastAsia="宋体" w:cs="Times New Roman"/>
      <w:b/>
      <w:bCs/>
      <w:szCs w:val="21"/>
    </w:rPr>
  </w:style>
  <w:style w:type="character" w:styleId="906" w:customStyle="1">
    <w:name w:val="批注主题 字符"/>
    <w:link w:val="905"/>
    <w:uiPriority w:val="0"/>
    <w:semiHidden/>
    <w:qFormat/>
    <w:rPr>
      <w:rFonts w:ascii="Times New Roman" w:hAnsi="Times New Roman" w:eastAsia="宋体" w:cs="Times New Roman"/>
      <w:b/>
      <w:bCs/>
      <w:szCs w:val="21"/>
    </w:rPr>
  </w:style>
  <w:style w:type="paragraph" w:styleId="907" w:customStyle="1">
    <w:name w:val="正文文本首行缩进"/>
    <w:basedOn w:val="664"/>
    <w:link w:val="908"/>
    <w:uiPriority w:val="0"/>
    <w:qFormat/>
    <w:pPr>
      <w:ind w:firstLine="200"/>
      <w:spacing w:line="360" w:lineRule="auto"/>
    </w:pPr>
    <w:rPr>
      <w:rFonts w:ascii="仿宋_GB2312" w:hAnsi="Times New Roman" w:eastAsia="仿宋_GB2312" w:cs="Times New Roman"/>
      <w:sz w:val="30"/>
      <w:szCs w:val="30"/>
    </w:rPr>
  </w:style>
  <w:style w:type="character" w:styleId="908" w:customStyle="1">
    <w:name w:val="正文文本首行缩进 字符"/>
    <w:link w:val="907"/>
    <w:uiPriority w:val="0"/>
    <w:qFormat/>
    <w:rPr>
      <w:rFonts w:ascii="仿宋_GB2312" w:hAnsi="Times New Roman" w:eastAsia="仿宋_GB2312" w:cs="Times New Roman"/>
      <w:sz w:val="30"/>
      <w:szCs w:val="30"/>
    </w:rPr>
  </w:style>
  <w:style w:type="paragraph" w:styleId="909" w:customStyle="1">
    <w:name w:val="正文文本首行缩进 2"/>
    <w:basedOn w:val="879"/>
    <w:link w:val="910"/>
    <w:uiPriority w:val="0"/>
    <w:qFormat/>
    <w:pPr>
      <w:ind w:left="0" w:firstLine="420"/>
      <w:spacing w:after="0" w:line="360" w:lineRule="auto"/>
    </w:pPr>
    <w:rPr>
      <w:rFonts w:ascii="宋体" w:hAnsi="宋体" w:eastAsia="宋体" w:cs="Times New Roman"/>
      <w:szCs w:val="20"/>
    </w:rPr>
  </w:style>
  <w:style w:type="character" w:styleId="910" w:customStyle="1">
    <w:name w:val="正文文本首行缩进 2 字符"/>
    <w:link w:val="909"/>
    <w:uiPriority w:val="0"/>
    <w:qFormat/>
    <w:rPr>
      <w:rFonts w:ascii="宋体" w:hAnsi="宋体" w:eastAsia="宋体" w:cs="Times New Roman"/>
      <w:szCs w:val="20"/>
    </w:rPr>
  </w:style>
  <w:style w:type="table" w:styleId="911" w:customStyle="1">
    <w:name w:val="网格型11"/>
    <w:basedOn w:val="858"/>
    <w:uiPriority w:val="0"/>
    <w:qFormat/>
    <w:pPr>
      <w:jc w:val="both"/>
      <w:widowControl w:val="off"/>
    </w:pPr>
    <w:rPr>
      <w:rFonts w:ascii="Times New Roman" w:hAnsi="Times New Roman" w:eastAsia="宋体" w:cs="Times New Roman"/>
      <w:sz w:val="20"/>
      <w:szCs w:val="20"/>
    </w:rPr>
    <w:tblPr/>
  </w:style>
  <w:style w:type="character" w:styleId="912" w:customStyle="1">
    <w:name w:val="要点1"/>
    <w:link w:val="664"/>
    <w:uiPriority w:val="0"/>
    <w:qFormat/>
    <w:rPr>
      <w:b/>
      <w:bCs/>
    </w:rPr>
  </w:style>
  <w:style w:type="character" w:styleId="913" w:customStyle="1">
    <w:name w:val="页码1"/>
    <w:link w:val="664"/>
    <w:uiPriority w:val="0"/>
    <w:qFormat/>
  </w:style>
  <w:style w:type="character" w:styleId="914" w:customStyle="1">
    <w:name w:val="访问过的超链接"/>
    <w:link w:val="664"/>
    <w:uiPriority w:val="0"/>
    <w:qFormat/>
    <w:rPr>
      <w:color w:val="800080"/>
      <w:u w:val="single"/>
    </w:rPr>
  </w:style>
  <w:style w:type="character" w:styleId="915" w:customStyle="1">
    <w:name w:val="强调1"/>
    <w:link w:val="664"/>
    <w:uiPriority w:val="0"/>
    <w:qFormat/>
    <w:rPr>
      <w:b/>
      <w:bCs/>
    </w:rPr>
  </w:style>
  <w:style w:type="character" w:styleId="916" w:customStyle="1">
    <w:name w:val="HTML 定义1"/>
    <w:link w:val="664"/>
    <w:uiPriority w:val="0"/>
    <w:qFormat/>
  </w:style>
  <w:style w:type="character" w:styleId="917" w:customStyle="1">
    <w:name w:val="HTML 打字机1"/>
    <w:link w:val="664"/>
    <w:uiPriority w:val="0"/>
    <w:qFormat/>
    <w:rPr>
      <w:rFonts w:ascii="monospace" w:hAnsi="monospace" w:eastAsia="monospace" w:cs="monospace"/>
      <w:sz w:val="20"/>
    </w:rPr>
  </w:style>
  <w:style w:type="character" w:styleId="918" w:customStyle="1">
    <w:name w:val="HTML 缩写1"/>
    <w:link w:val="664"/>
    <w:uiPriority w:val="0"/>
    <w:qFormat/>
    <w:rPr>
      <w:rFonts w:ascii="微软雅黑" w:hAnsi="微软雅黑" w:eastAsia="微软雅黑" w:cs="微软雅黑"/>
      <w:color w:val="ffffff"/>
      <w:sz w:val="14"/>
      <w:szCs w:val="14"/>
      <w:u w:val="none"/>
      <w:shd w:val="clear" w:color="auto" w:fill="59c2e6"/>
    </w:rPr>
  </w:style>
  <w:style w:type="character" w:styleId="919" w:customStyle="1">
    <w:name w:val="HTML 变量1"/>
    <w:link w:val="664"/>
    <w:uiPriority w:val="0"/>
    <w:qFormat/>
    <w:rPr>
      <w:vanish/>
    </w:rPr>
  </w:style>
  <w:style w:type="character" w:styleId="920" w:customStyle="1">
    <w:name w:val="超链接1"/>
    <w:link w:val="664"/>
    <w:uiPriority w:val="0"/>
    <w:qFormat/>
    <w:rPr>
      <w:color w:val="0000ff"/>
      <w:u w:val="single"/>
    </w:rPr>
  </w:style>
  <w:style w:type="character" w:styleId="921" w:customStyle="1">
    <w:name w:val="HTML 代码1"/>
    <w:link w:val="664"/>
    <w:uiPriority w:val="0"/>
    <w:qFormat/>
    <w:rPr>
      <w:rFonts w:ascii="monospace" w:hAnsi="monospace" w:eastAsia="monospace" w:cs="monospace"/>
      <w:sz w:val="20"/>
    </w:rPr>
  </w:style>
  <w:style w:type="character" w:styleId="922" w:customStyle="1">
    <w:name w:val="批注引用1"/>
    <w:link w:val="664"/>
    <w:uiPriority w:val="0"/>
    <w:qFormat/>
    <w:rPr>
      <w:sz w:val="21"/>
      <w:szCs w:val="21"/>
    </w:rPr>
  </w:style>
  <w:style w:type="character" w:styleId="923" w:customStyle="1">
    <w:name w:val="HTML 引文1"/>
    <w:link w:val="664"/>
    <w:uiPriority w:val="0"/>
    <w:qFormat/>
  </w:style>
  <w:style w:type="character" w:styleId="924" w:customStyle="1">
    <w:name w:val="HTML 键盘1"/>
    <w:link w:val="664"/>
    <w:uiPriority w:val="0"/>
    <w:qFormat/>
    <w:rPr>
      <w:rFonts w:ascii="monospace" w:hAnsi="monospace" w:eastAsia="monospace" w:cs="monospace"/>
      <w:sz w:val="20"/>
    </w:rPr>
  </w:style>
  <w:style w:type="character" w:styleId="925" w:customStyle="1">
    <w:name w:val="HTML 样本1"/>
    <w:link w:val="664"/>
    <w:uiPriority w:val="0"/>
    <w:qFormat/>
    <w:rPr>
      <w:rFonts w:ascii="monospace" w:hAnsi="monospace" w:eastAsia="monospace" w:cs="monospace"/>
    </w:rPr>
  </w:style>
  <w:style w:type="character" w:styleId="926" w:customStyle="1">
    <w:name w:val="font5 Char"/>
    <w:link w:val="664"/>
    <w:uiPriority w:val="0"/>
    <w:qFormat/>
    <w:rPr>
      <w:rFonts w:ascii="宋体" w:hAnsi="宋体" w:eastAsia="宋体"/>
      <w:sz w:val="28"/>
      <w:szCs w:val="28"/>
      <w:lang w:val="en-US" w:eastAsia="zh-CN" w:bidi="ar-SA"/>
    </w:rPr>
  </w:style>
  <w:style w:type="character" w:styleId="927" w:customStyle="1">
    <w:name w:val="二级目录 Char"/>
    <w:link w:val="928"/>
    <w:uiPriority w:val="0"/>
    <w:qFormat/>
    <w:rPr>
      <w:b/>
      <w:sz w:val="30"/>
      <w:szCs w:val="28"/>
    </w:rPr>
  </w:style>
  <w:style w:type="paragraph" w:styleId="928" w:customStyle="1">
    <w:name w:val="二级目录"/>
    <w:next w:val="664"/>
    <w:link w:val="927"/>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29" w:customStyle="1">
    <w:name w:val="列出段落 Char"/>
    <w:link w:val="930"/>
    <w:uiPriority w:val="0"/>
    <w:qFormat/>
    <w:rPr>
      <w:rFonts w:ascii="Calibri" w:hAnsi="Calibri"/>
      <w:sz w:val="24"/>
      <w:szCs w:val="24"/>
      <w:lang w:eastAsia="en-US" w:bidi="en-US"/>
    </w:rPr>
  </w:style>
  <w:style w:type="paragraph" w:styleId="930" w:customStyle="1">
    <w:name w:val="列出段落1"/>
    <w:basedOn w:val="664"/>
    <w:link w:val="929"/>
    <w:uiPriority w:val="0"/>
    <w:qFormat/>
    <w:pPr>
      <w:contextualSpacing/>
      <w:ind w:left="720"/>
      <w:jc w:val="left"/>
      <w:widowControl/>
    </w:pPr>
    <w:rPr>
      <w:rFonts w:ascii="Calibri" w:hAnsi="Calibri"/>
      <w:sz w:val="24"/>
      <w:szCs w:val="24"/>
      <w:lang w:eastAsia="en-US" w:bidi="en-US"/>
    </w:rPr>
  </w:style>
  <w:style w:type="paragraph" w:styleId="931" w:customStyle="1">
    <w:name w:val="Body Text(ch)"/>
    <w:basedOn w:val="664"/>
    <w:next w:val="877"/>
    <w:uiPriority w:val="0"/>
    <w:qFormat/>
    <w:pPr>
      <w:spacing w:after="120"/>
    </w:pPr>
    <w:rPr>
      <w:rFonts w:ascii="宋体" w:hAnsi="Arial" w:eastAsia="宋体" w:cs="Times New Roman"/>
      <w:bCs/>
      <w:iCs/>
      <w:szCs w:val="24"/>
    </w:rPr>
  </w:style>
  <w:style w:type="paragraph" w:styleId="932" w:customStyle="1">
    <w:name w:val="xl27"/>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3" w:customStyle="1">
    <w:name w:val="xl26"/>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4" w:customStyle="1">
    <w:name w:val="Char"/>
    <w:basedOn w:val="664"/>
    <w:uiPriority w:val="0"/>
    <w:qFormat/>
    <w:pPr>
      <w:ind w:firstLine="200"/>
      <w:tabs>
        <w:tab w:val="left" w:pos="360" w:leader="none"/>
      </w:tabs>
    </w:pPr>
    <w:rPr>
      <w:rFonts w:ascii="Times New Roman" w:hAnsi="Times New Roman" w:eastAsia="宋体" w:cs="Times New Roman"/>
      <w:sz w:val="28"/>
      <w:szCs w:val="30"/>
    </w:rPr>
  </w:style>
  <w:style w:type="paragraph" w:styleId="935" w:customStyle="1">
    <w:name w:val=" Char"/>
    <w:basedOn w:val="871"/>
    <w:uiPriority w:val="0"/>
    <w:qFormat/>
    <w:rPr>
      <w:rFonts w:ascii="Tahoma" w:hAnsi="Tahoma"/>
      <w:sz w:val="24"/>
      <w:szCs w:val="24"/>
    </w:rPr>
  </w:style>
  <w:style w:type="paragraph" w:styleId="936" w:customStyle="1">
    <w:name w:val="普通正文"/>
    <w:basedOn w:val="664"/>
    <w:uiPriority w:val="0"/>
    <w:qFormat/>
    <w:pPr>
      <w:ind w:firstLine="480"/>
      <w:jc w:val="left"/>
      <w:spacing w:before="120" w:after="120" w:line="360" w:lineRule="auto"/>
    </w:pPr>
    <w:rPr>
      <w:rFonts w:ascii="Arial" w:hAnsi="Arial" w:eastAsia="宋体" w:cs="Times New Roman"/>
      <w:sz w:val="24"/>
      <w:szCs w:val="24"/>
    </w:rPr>
  </w:style>
  <w:style w:type="paragraph" w:styleId="937" w:customStyle="1">
    <w:name w:val="table_lines"/>
    <w:basedOn w:val="664"/>
    <w:uiPriority w:val="0"/>
    <w:qFormat/>
    <w:pPr>
      <w:jc w:val="left"/>
      <w:widowControl/>
    </w:pPr>
    <w:rPr>
      <w:rFonts w:ascii="Times New Roman" w:hAnsi="Times New Roman" w:eastAsia="宋体" w:cs="Times New Roman"/>
      <w:sz w:val="20"/>
      <w:szCs w:val="20"/>
      <w:lang w:val="de-DE" w:eastAsia="de-DE"/>
    </w:rPr>
  </w:style>
  <w:style w:type="paragraph" w:styleId="93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9" w:customStyle="1">
    <w:name w:val="font7"/>
    <w:basedOn w:val="66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0" w:customStyle="1">
    <w:name w:val=" Char Char Char Char"/>
    <w:basedOn w:val="871"/>
    <w:uiPriority w:val="0"/>
    <w:qFormat/>
    <w:pPr>
      <w:spacing w:line="360" w:lineRule="auto"/>
    </w:pPr>
    <w:rPr>
      <w:rFonts w:ascii="Tahoma" w:hAnsi="Tahoma"/>
      <w:sz w:val="24"/>
      <w:szCs w:val="24"/>
    </w:rPr>
  </w:style>
  <w:style w:type="paragraph" w:styleId="941" w:customStyle="1">
    <w:name w:val="列表段落"/>
    <w:basedOn w:val="664"/>
    <w:uiPriority w:val="0"/>
    <w:qFormat/>
    <w:pPr>
      <w:contextualSpacing/>
      <w:ind w:left="720"/>
      <w:jc w:val="left"/>
      <w:widowControl/>
    </w:pPr>
    <w:rPr>
      <w:rFonts w:ascii="Calibri" w:hAnsi="Calibri" w:eastAsia="宋体" w:cs="Times New Roman"/>
      <w:sz w:val="24"/>
      <w:szCs w:val="24"/>
      <w:lang w:eastAsia="en-US" w:bidi="en-US"/>
    </w:rPr>
  </w:style>
  <w:style w:type="paragraph" w:styleId="942" w:customStyle="1">
    <w:name w:val="4"/>
    <w:basedOn w:val="664"/>
    <w:next w:val="896"/>
    <w:uiPriority w:val="0"/>
    <w:qFormat/>
    <w:pPr>
      <w:ind w:firstLine="420"/>
      <w:spacing w:line="360" w:lineRule="auto"/>
    </w:pPr>
    <w:rPr>
      <w:rFonts w:ascii="Times New Roman" w:hAnsi="Times New Roman" w:eastAsia="宋体" w:cs="Times New Roman"/>
      <w:color w:val="ff0000"/>
      <w:sz w:val="24"/>
      <w:szCs w:val="24"/>
    </w:rPr>
  </w:style>
  <w:style w:type="paragraph" w:styleId="943" w:customStyle="1">
    <w:name w:val="普通 (Web)"/>
    <w:basedOn w:val="664"/>
    <w:uiPriority w:val="0"/>
    <w:qFormat/>
    <w:pPr>
      <w:jc w:val="left"/>
      <w:spacing w:before="100" w:beforeAutospacing="1" w:after="100" w:afterAutospacing="1"/>
      <w:widowControl/>
    </w:pPr>
    <w:rPr>
      <w:rFonts w:ascii="宋体" w:hAnsi="宋体" w:eastAsia="宋体" w:cs="Times New Roman"/>
      <w:sz w:val="24"/>
      <w:szCs w:val="24"/>
    </w:rPr>
  </w:style>
  <w:style w:type="paragraph" w:styleId="944" w:customStyle="1">
    <w:name w:val=" Char Char Char Char Char Char Char Char Char Char"/>
    <w:basedOn w:val="664"/>
    <w:uiPriority w:val="0"/>
    <w:qFormat/>
    <w:pPr>
      <w:spacing w:line="360" w:lineRule="auto"/>
    </w:pPr>
    <w:rPr>
      <w:rFonts w:ascii="Times New Roman" w:hAnsi="Times New Roman" w:eastAsia="宋体" w:cs="Times New Roman"/>
      <w:sz w:val="24"/>
      <w:szCs w:val="20"/>
    </w:rPr>
  </w:style>
  <w:style w:type="paragraph" w:styleId="945" w:customStyle="1">
    <w:name w:val="样式1"/>
    <w:basedOn w:val="664"/>
    <w:uiPriority w:val="0"/>
    <w:qFormat/>
    <w:pPr>
      <w:numPr>
        <w:ilvl w:val="0"/>
        <w:numId w:val="3"/>
      </w:numPr>
    </w:pPr>
    <w:rPr>
      <w:rFonts w:ascii="宋体" w:hAnsi="宋体" w:eastAsia="宋体" w:cs="Times New Roman"/>
      <w:szCs w:val="21"/>
    </w:rPr>
  </w:style>
  <w:style w:type="paragraph" w:styleId="946" w:customStyle="1">
    <w:name w:val="font6"/>
    <w:basedOn w:val="66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7" w:customStyle="1">
    <w:name w:val="xl25"/>
    <w:basedOn w:val="66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8" w:customStyle="1">
    <w:name w:val="图标"/>
    <w:basedOn w:val="664"/>
    <w:next w:val="66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9" w:customStyle="1">
    <w:name w:val="标题3"/>
    <w:basedOn w:val="664"/>
    <w:next w:val="664"/>
    <w:uiPriority w:val="0"/>
    <w:qFormat/>
    <w:pPr>
      <w:ind w:firstLine="624"/>
      <w:spacing w:line="590" w:lineRule="atLeast"/>
    </w:pPr>
    <w:rPr>
      <w:rFonts w:ascii="方正黑体_GBK" w:hAnsi="Times New Roman" w:eastAsia="方正黑体_GBK" w:cs="Times New Roman"/>
      <w:sz w:val="32"/>
      <w:szCs w:val="32"/>
    </w:rPr>
  </w:style>
  <w:style w:type="paragraph" w:styleId="950" w:customStyle="1">
    <w:name w:val="xl24"/>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1" w:customStyle="1">
    <w:name w:val="xl29"/>
    <w:basedOn w:val="66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2" w:customStyle="1">
    <w:name w:val="Char Char Char Char Char Char Char Char"/>
    <w:basedOn w:val="664"/>
    <w:uiPriority w:val="0"/>
    <w:qFormat/>
    <w:pPr>
      <w:jc w:val="left"/>
      <w:spacing w:after="160" w:line="240" w:lineRule="exact"/>
      <w:widowControl/>
    </w:pPr>
    <w:rPr>
      <w:rFonts w:ascii="Verdana" w:hAnsi="Verdana" w:eastAsia="宋体" w:cs="Times New Roman"/>
      <w:sz w:val="20"/>
      <w:szCs w:val="20"/>
      <w:lang w:eastAsia="en-US"/>
    </w:rPr>
  </w:style>
  <w:style w:type="paragraph" w:styleId="953" w:customStyle="1">
    <w:name w:val="xl28"/>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54" w:customStyle="1">
    <w:name w:val=" Char Char Char Char Char Char Char Char"/>
    <w:basedOn w:val="664"/>
    <w:uiPriority w:val="0"/>
    <w:qFormat/>
    <w:pPr>
      <w:jc w:val="left"/>
      <w:spacing w:after="160" w:line="240" w:lineRule="exact"/>
      <w:widowControl/>
    </w:pPr>
    <w:rPr>
      <w:rFonts w:ascii="Verdana" w:hAnsi="Verdana" w:eastAsia="宋体" w:cs="Times New Roman"/>
      <w:sz w:val="20"/>
      <w:szCs w:val="20"/>
      <w:lang w:eastAsia="en-US"/>
    </w:rPr>
  </w:style>
  <w:style w:type="paragraph" w:styleId="955" w:customStyle="1">
    <w:name w:val="xl30"/>
    <w:basedOn w:val="66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6" w:customStyle="1">
    <w:name w:val="Char Char Char Char"/>
    <w:basedOn w:val="871"/>
    <w:uiPriority w:val="0"/>
    <w:qFormat/>
    <w:pPr>
      <w:spacing w:line="360" w:lineRule="auto"/>
    </w:pPr>
    <w:rPr>
      <w:rFonts w:ascii="Tahoma" w:hAnsi="Tahoma"/>
      <w:sz w:val="24"/>
      <w:szCs w:val="24"/>
    </w:rPr>
  </w:style>
  <w:style w:type="paragraph" w:styleId="957" w:customStyle="1">
    <w:name w:val="table_1stline"/>
    <w:basedOn w:val="664"/>
    <w:uiPriority w:val="0"/>
    <w:qFormat/>
    <w:pPr>
      <w:jc w:val="left"/>
      <w:spacing w:before="120"/>
      <w:widowControl/>
    </w:pPr>
    <w:rPr>
      <w:rFonts w:ascii="Times New Roman" w:hAnsi="Times New Roman" w:eastAsia="宋体" w:cs="Times New Roman"/>
      <w:bCs/>
      <w:sz w:val="20"/>
      <w:szCs w:val="20"/>
      <w:lang w:val="de-DE" w:eastAsia="de-DE"/>
    </w:rPr>
  </w:style>
  <w:style w:type="paragraph" w:styleId="958" w:customStyle="1">
    <w:name w:val="font5"/>
    <w:basedOn w:val="66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9" w:customStyle="1">
    <w:name w:val="标题1"/>
    <w:basedOn w:val="664"/>
    <w:next w:val="66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2" w:customStyle="1">
    <w:name w:val="正文文本1"/>
    <w:basedOn w:val="664"/>
    <w:next w:val="664"/>
    <w:uiPriority w:val="0"/>
    <w:qFormat/>
    <w:rPr>
      <w:rFonts w:ascii="仿宋_GB2312" w:eastAsia="仿宋_GB2312"/>
      <w:sz w:val="24"/>
      <w:szCs w:val="20"/>
    </w:rPr>
  </w:style>
  <w:style w:type="character" w:styleId="963" w:customStyle="1">
    <w:name w:val="fontstyle11"/>
    <w:link w:val="664"/>
    <w:uiPriority w:val="0"/>
    <w:qFormat/>
    <w:rPr>
      <w:rFonts w:hint="eastAsia" w:ascii="宋体" w:hAnsi="宋体" w:eastAsia="宋体"/>
      <w:color w:val="000000"/>
      <w:sz w:val="22"/>
      <w:szCs w:val="22"/>
    </w:rPr>
  </w:style>
  <w:style w:type="character" w:styleId="964" w:customStyle="1">
    <w:name w:val="标题2 Char"/>
    <w:link w:val="664"/>
    <w:uiPriority w:val="0"/>
    <w:qFormat/>
    <w:rPr>
      <w:rFonts w:ascii="方正楷体_GBK" w:hAnsi="Book Antiqua" w:eastAsia="方正楷体_GBK"/>
      <w:sz w:val="32"/>
      <w:lang w:val="en-US" w:eastAsia="zh-CN" w:bidi="ar-SA"/>
    </w:rPr>
  </w:style>
  <w:style w:type="character" w:styleId="965" w:customStyle="1">
    <w:name w:val="jj1"/>
    <w:link w:val="664"/>
    <w:uiPriority w:val="0"/>
    <w:qFormat/>
    <w:rPr>
      <w:sz w:val="20"/>
      <w:szCs w:val="20"/>
      <w:u w:val="none"/>
    </w:rPr>
  </w:style>
  <w:style w:type="character" w:styleId="966" w:customStyle="1">
    <w:name w:val="fontstyle01"/>
    <w:link w:val="664"/>
    <w:uiPriority w:val="0"/>
    <w:qFormat/>
    <w:rPr>
      <w:rFonts w:ascii="Calibri-Bold" w:hAnsi="Calibri-Bold"/>
      <w:b/>
      <w:bCs/>
      <w:color w:val="000000"/>
      <w:sz w:val="22"/>
      <w:szCs w:val="22"/>
    </w:rPr>
  </w:style>
  <w:style w:type="paragraph" w:styleId="967" w:customStyle="1">
    <w:name w:val="TOC 标题"/>
    <w:basedOn w:val="847"/>
    <w:next w:val="664"/>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968" w:customStyle="1">
    <w:name w:val="正文缩进2格"/>
    <w:basedOn w:val="664"/>
    <w:uiPriority w:val="0"/>
    <w:qFormat/>
    <w:pPr>
      <w:ind w:firstLine="639"/>
      <w:spacing w:line="600" w:lineRule="exact"/>
    </w:pPr>
    <w:rPr>
      <w:rFonts w:ascii="仿宋_GB2312" w:hAnsi="宋体" w:eastAsia="仿宋_GB2312"/>
      <w:sz w:val="31"/>
      <w:szCs w:val="28"/>
    </w:rPr>
  </w:style>
  <w:style w:type="paragraph" w:styleId="969" w:customStyle="1">
    <w:name w:val="Char Char Char Char1 Char Char Char"/>
    <w:basedOn w:val="871"/>
    <w:uiPriority w:val="0"/>
    <w:qFormat/>
    <w:pPr>
      <w:spacing w:line="360" w:lineRule="auto"/>
    </w:pPr>
    <w:rPr>
      <w:rFonts w:ascii="Tahoma" w:hAnsi="Tahoma"/>
      <w:sz w:val="24"/>
      <w:szCs w:val="24"/>
    </w:rPr>
  </w:style>
  <w:style w:type="paragraph" w:styleId="970" w:customStyle="1">
    <w:name w:val="xl47"/>
    <w:basedOn w:val="664"/>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71"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972" w:customStyle="1">
    <w:name w:val="BioQuote Tekst"/>
    <w:basedOn w:val="664"/>
    <w:uiPriority w:val="0"/>
    <w:qFormat/>
    <w:pPr>
      <w:ind w:right="-1"/>
    </w:pPr>
    <w:rPr>
      <w:rFonts w:ascii="Arial" w:hAnsi="Arial"/>
      <w:sz w:val="22"/>
      <w:szCs w:val="20"/>
      <w:lang w:eastAsia="en-US"/>
    </w:rPr>
  </w:style>
  <w:style w:type="paragraph" w:styleId="973" w:customStyle="1">
    <w:name w:val="HTML 预先格式化"/>
    <w:basedOn w:val="6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74"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975" w:customStyle="1">
    <w:name w:val="默认段落字体 Para Char Char Char Char Char Char Char Char Char1 Char Char Char Char Char Char Char"/>
    <w:basedOn w:val="871"/>
    <w:uiPriority w:val="0"/>
    <w:qFormat/>
    <w:rPr>
      <w:rFonts w:ascii="Tahoma" w:hAnsi="Tahoma"/>
      <w:sz w:val="24"/>
      <w:szCs w:val="24"/>
    </w:rPr>
  </w:style>
  <w:style w:type="paragraph" w:styleId="976" w:customStyle="1">
    <w:name w:val="正文_1_0"/>
    <w:basedOn w:val="664"/>
    <w:uiPriority w:val="0"/>
    <w:qFormat/>
    <w:rPr>
      <w:rFonts w:ascii="Times New Roman" w:hAnsi="Times New Roman"/>
      <w:szCs w:val="24"/>
    </w:rPr>
  </w:style>
  <w:style w:type="paragraph" w:styleId="977" w:customStyle="1">
    <w:name w:val=" Char Char Char Char1 Char Char"/>
    <w:basedOn w:val="664"/>
    <w:uiPriority w:val="0"/>
    <w:qFormat/>
    <w:pPr>
      <w:tabs>
        <w:tab w:val="left" w:pos="360" w:leader="none"/>
      </w:tabs>
    </w:pPr>
    <w:rPr>
      <w:rFonts w:ascii="Times New Roman" w:hAnsi="Times New Roman"/>
      <w:sz w:val="24"/>
      <w:szCs w:val="24"/>
    </w:rPr>
  </w:style>
  <w:style w:type="paragraph" w:styleId="978" w:customStyle="1">
    <w:name w:val="Coms Alinea"/>
    <w:uiPriority w:val="0"/>
    <w:qFormat/>
    <w:pPr>
      <w:widowControl w:val="off"/>
    </w:pPr>
    <w:rPr>
      <w:rFonts w:hint="default" w:ascii="Arial" w:hAnsi="Arial" w:eastAsia="宋体" w:cs="Arial"/>
      <w:lang w:val="en-US" w:eastAsia="zh-CN" w:bidi="ar-SA"/>
    </w:rPr>
  </w:style>
  <w:style w:type="paragraph" w:styleId="979" w:customStyle="1">
    <w:name w:val="标题2"/>
    <w:basedOn w:val="664"/>
    <w:next w:val="664"/>
    <w:uiPriority w:val="0"/>
    <w:qFormat/>
    <w:pPr>
      <w:jc w:val="center"/>
    </w:pPr>
    <w:rPr>
      <w:rFonts w:ascii="Times New Roman" w:hAnsi="Times New Roman" w:eastAsia="方正楷体_GBK"/>
      <w:szCs w:val="24"/>
    </w:rPr>
  </w:style>
  <w:style w:type="paragraph" w:styleId="980" w:customStyle="1">
    <w:name w:val="WPSOffice手动目录 1"/>
    <w:uiPriority w:val="0"/>
    <w:qFormat/>
    <w:rPr>
      <w:rFonts w:hint="default" w:ascii="Times New Roman" w:hAnsi="Times New Roman" w:eastAsia="宋体" w:cs="Times New Roman"/>
      <w:lang w:val="en-US" w:eastAsia="zh-CN" w:bidi="ar-SA"/>
    </w:rPr>
  </w:style>
  <w:style w:type="paragraph" w:styleId="981" w:customStyle="1">
    <w:name w:val="四级标题"/>
    <w:basedOn w:val="884"/>
    <w:uiPriority w:val="0"/>
    <w:qFormat/>
    <w:pPr>
      <w:ind w:left="851" w:hanging="851"/>
      <w:jc w:val="left"/>
      <w:spacing w:line="360" w:lineRule="auto"/>
      <w:widowControl/>
      <w:tabs>
        <w:tab w:val="left" w:pos="851" w:leader="none"/>
      </w:tabs>
    </w:pPr>
    <w:rPr>
      <w:rFonts w:ascii="Arial" w:hAnsi="Arial"/>
      <w:b/>
      <w:bCs/>
      <w:szCs w:val="32"/>
    </w:rPr>
  </w:style>
  <w:style w:type="paragraph" w:styleId="982" w:customStyle="1">
    <w:name w:val="FootnoteText1"/>
    <w:basedOn w:val="664"/>
    <w:next w:val="983"/>
    <w:uiPriority w:val="0"/>
    <w:unhideWhenUsed/>
    <w:qFormat/>
    <w:pPr>
      <w:jc w:val="left"/>
      <w:spacing w:line="312" w:lineRule="atLeast"/>
    </w:pPr>
    <w:rPr>
      <w:rFonts w:ascii="Times New Roman" w:hAnsi="Times New Roman"/>
      <w:sz w:val="18"/>
      <w:szCs w:val="24"/>
    </w:rPr>
  </w:style>
  <w:style w:type="paragraph" w:styleId="983" w:customStyle="1">
    <w:name w:val="Index51"/>
    <w:basedOn w:val="664"/>
    <w:next w:val="664"/>
    <w:uiPriority w:val="0"/>
    <w:unhideWhenUsed/>
    <w:qFormat/>
    <w:pPr>
      <w:ind w:left="1050" w:hanging="210"/>
      <w:jc w:val="left"/>
    </w:pPr>
    <w:rPr>
      <w:rFonts w:ascii="Times New Roman" w:hAnsi="Times New Roman"/>
      <w:sz w:val="18"/>
      <w:szCs w:val="18"/>
      <w:lang w:eastAsia="zh-TW"/>
    </w:rPr>
  </w:style>
  <w:style w:type="paragraph" w:styleId="984" w:customStyle="1">
    <w:name w:val="正文首行缩进 21"/>
    <w:basedOn w:val="664"/>
    <w:uiPriority w:val="99"/>
    <w:unhideWhenUsed/>
    <w:qFormat/>
    <w:pPr>
      <w:ind w:firstLine="420"/>
    </w:pPr>
    <w:rPr>
      <w:rFonts w:ascii="楷体_GB2312" w:eastAsia="楷体_GB2312"/>
      <w:sz w:val="32"/>
      <w:szCs w:val="20"/>
    </w:rPr>
  </w:style>
  <w:style w:type="paragraph" w:styleId="985" w:customStyle="1">
    <w:name w:val="标题 11"/>
    <w:basedOn w:val="664"/>
    <w:next w:val="664"/>
    <w:uiPriority w:val="0"/>
    <w:qFormat/>
    <w:pPr>
      <w:keepNext/>
      <w:outlineLvl w:val="0"/>
    </w:pPr>
    <w:rPr>
      <w:rFonts w:ascii="楷体_GB2312" w:hAnsi="Times New Roman" w:eastAsia="楷体_GB2312"/>
      <w:sz w:val="28"/>
      <w:szCs w:val="20"/>
    </w:rPr>
  </w:style>
  <w:style w:type="paragraph" w:styleId="986" w:customStyle="1">
    <w:name w:val="标题 21"/>
    <w:basedOn w:val="664"/>
    <w:next w:val="664"/>
    <w:uiPriority w:val="0"/>
    <w:qFormat/>
    <w:pPr>
      <w:jc w:val="center"/>
      <w:keepLines/>
      <w:keepNext/>
      <w:spacing w:before="260" w:after="260" w:line="416" w:lineRule="auto"/>
      <w:outlineLvl w:val="1"/>
    </w:pPr>
    <w:rPr>
      <w:rFonts w:ascii="Arial" w:hAnsi="Arial" w:eastAsia="幼圆"/>
      <w:b/>
      <w:sz w:val="44"/>
      <w:szCs w:val="20"/>
    </w:rPr>
  </w:style>
  <w:style w:type="table" w:styleId="987" w:customStyle="1">
    <w:name w:val="网格型1"/>
    <w:basedOn w:val="858"/>
    <w:uiPriority w:val="59"/>
    <w:qFormat/>
    <w:rPr>
      <w:rFonts w:ascii="Arial" w:hAnsi="Arial" w:eastAsia="宋体" w:cs="Times New Roman"/>
      <w:sz w:val="22"/>
      <w:szCs w:val="22"/>
      <w:lang w:eastAsia="en-US"/>
    </w:rPr>
    <w:tblPr/>
  </w:style>
  <w:style w:type="table" w:styleId="988" w:customStyle="1">
    <w:name w:val="网格型2"/>
    <w:basedOn w:val="858"/>
    <w:uiPriority w:val="59"/>
    <w:qFormat/>
    <w:rPr>
      <w:rFonts w:ascii="Arial" w:hAnsi="Arial" w:eastAsia="宋体" w:cs="Times New Roman"/>
      <w:sz w:val="22"/>
      <w:szCs w:val="22"/>
      <w:lang w:eastAsia="en-US"/>
    </w:rPr>
    <w:tblPr/>
  </w:style>
  <w:style w:type="table" w:styleId="989" w:customStyle="1">
    <w:name w:val="网格型3"/>
    <w:basedOn w:val="858"/>
    <w:uiPriority w:val="59"/>
    <w:qFormat/>
    <w:rPr>
      <w:rFonts w:ascii="Arial" w:hAnsi="Arial" w:eastAsia="宋体" w:cs="Times New Roman"/>
      <w:sz w:val="22"/>
      <w:szCs w:val="22"/>
      <w:lang w:eastAsia="en-US"/>
    </w:rPr>
    <w:tblPr/>
  </w:style>
  <w:style w:type="paragraph" w:styleId="990" w:customStyle="1">
    <w:name w:val="1.1內文"/>
    <w:basedOn w:val="664"/>
    <w:uiPriority w:val="0"/>
    <w:qFormat/>
    <w:pPr>
      <w:ind w:left="630" w:firstLine="588"/>
      <w:spacing w:before="120" w:after="120"/>
    </w:pPr>
    <w:rPr>
      <w:rFonts w:ascii="Times New Roman" w:hAnsi="Times New Roman" w:eastAsia="DFKai-SB" w:cs="Times New Roman"/>
      <w:spacing w:val="20"/>
      <w:sz w:val="26"/>
      <w:szCs w:val="20"/>
      <w:lang w:eastAsia="zh-TW"/>
    </w:rPr>
  </w:style>
  <w:style w:type="paragraph" w:styleId="991" w:customStyle="1">
    <w:name w:val="Table Paragraph"/>
    <w:basedOn w:val="664"/>
    <w:uiPriority w:val="1"/>
    <w:qFormat/>
    <w:rPr>
      <w:rFonts w:ascii="宋体" w:hAnsi="宋体" w:eastAsia="宋体" w:cs="宋体"/>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吴江</cp:lastModifiedBy>
  <cp:revision>22</cp:revision>
  <dcterms:created xsi:type="dcterms:W3CDTF">2023-03-27T07:28:00Z</dcterms:created>
  <dcterms:modified xsi:type="dcterms:W3CDTF">2025-12-23T04:38:28Z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eyJoZGlkIjoiNDE4MjM4YjllYzlhM2NiMzI0NjIwZjYzY2QyOTg0ODciLCJ1c2VySWQiOiI3NzE4NDg1NjUifQ==</vt:lpwstr>
  </property>
  <property fmtid="{D5CDD505-2E9C-101B-9397-08002B2CF9AE}" pid="3" name="KSOProductBuildVer">
    <vt:lpwstr>2052-12.1.0.24034</vt:lpwstr>
  </property>
  <property fmtid="{D5CDD505-2E9C-101B-9397-08002B2CF9AE}" pid="4" name="ICV">
    <vt:lpwstr>AFA3400296DB49448284AAA44F2D4ADA_13</vt:lpwstr>
  </property>
</Properties>
</file>